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C9E3" w14:textId="77777777" w:rsidR="00D05228" w:rsidRDefault="00D05228" w:rsidP="00E26A6E">
      <w:pPr>
        <w:jc w:val="center"/>
        <w:rPr>
          <w:b/>
          <w:sz w:val="40"/>
          <w:szCs w:val="40"/>
        </w:rPr>
      </w:pPr>
    </w:p>
    <w:p w14:paraId="52752094" w14:textId="3447AE69" w:rsidR="00E27BAD" w:rsidRPr="00E26A6E" w:rsidRDefault="00E27BAD" w:rsidP="00E26A6E">
      <w:pPr>
        <w:jc w:val="center"/>
        <w:rPr>
          <w:b/>
          <w:sz w:val="40"/>
          <w:szCs w:val="40"/>
        </w:rPr>
      </w:pPr>
      <w:r w:rsidRPr="000F3444">
        <w:rPr>
          <w:b/>
          <w:sz w:val="40"/>
          <w:szCs w:val="40"/>
        </w:rPr>
        <w:t>HORTON PARISH COUNCIL</w:t>
      </w:r>
    </w:p>
    <w:p w14:paraId="6AFCEF3A" w14:textId="77777777" w:rsidR="00E27BAD" w:rsidRPr="00E27BAD" w:rsidRDefault="00E27BAD" w:rsidP="00E27BAD"/>
    <w:p w14:paraId="04727D3C" w14:textId="5D858E7D" w:rsidR="00E27BAD" w:rsidRPr="00E27BAD" w:rsidRDefault="00E27BAD" w:rsidP="00E27BAD">
      <w:pPr>
        <w:jc w:val="center"/>
        <w:rPr>
          <w:rFonts w:ascii="MS Reference Sans Serif" w:hAnsi="MS Reference Sans Serif"/>
          <w:sz w:val="24"/>
          <w:szCs w:val="24"/>
        </w:rPr>
      </w:pPr>
      <w:r w:rsidRPr="00E27BAD">
        <w:rPr>
          <w:rFonts w:ascii="MS Reference Sans Serif" w:hAnsi="MS Reference Sans Serif"/>
          <w:b/>
          <w:bCs/>
          <w:sz w:val="24"/>
          <w:szCs w:val="24"/>
        </w:rPr>
        <w:t>Health and Safety Policy and Council Risk Assessment</w:t>
      </w:r>
    </w:p>
    <w:p w14:paraId="373B0F55" w14:textId="4D0F5D4C" w:rsidR="00E27BAD" w:rsidRPr="00E27BAD" w:rsidRDefault="00E27BAD" w:rsidP="00E27BAD">
      <w:pPr>
        <w:jc w:val="center"/>
        <w:rPr>
          <w:rFonts w:ascii="MS Reference Sans Serif" w:hAnsi="MS Reference Sans Serif"/>
          <w:sz w:val="24"/>
          <w:szCs w:val="24"/>
        </w:rPr>
      </w:pPr>
      <w:r w:rsidRPr="00E27BAD">
        <w:rPr>
          <w:rFonts w:ascii="MS Reference Sans Serif" w:hAnsi="MS Reference Sans Serif"/>
          <w:sz w:val="24"/>
          <w:szCs w:val="24"/>
        </w:rPr>
        <w:t xml:space="preserve">Adopted </w:t>
      </w:r>
      <w:r>
        <w:rPr>
          <w:rFonts w:ascii="MS Reference Sans Serif" w:hAnsi="MS Reference Sans Serif"/>
          <w:sz w:val="24"/>
          <w:szCs w:val="24"/>
        </w:rPr>
        <w:t>– November 2025</w:t>
      </w:r>
    </w:p>
    <w:p w14:paraId="6FC813FB" w14:textId="7C7AC4F0" w:rsidR="00E27BAD" w:rsidRDefault="00E27BAD" w:rsidP="00E27BAD">
      <w:pPr>
        <w:jc w:val="center"/>
        <w:rPr>
          <w:rFonts w:ascii="MS Reference Sans Serif" w:hAnsi="MS Reference Sans Serif"/>
          <w:sz w:val="24"/>
          <w:szCs w:val="24"/>
        </w:rPr>
      </w:pPr>
      <w:r w:rsidRPr="00E27BAD">
        <w:rPr>
          <w:rFonts w:ascii="MS Reference Sans Serif" w:hAnsi="MS Reference Sans Serif"/>
          <w:sz w:val="24"/>
          <w:szCs w:val="24"/>
        </w:rPr>
        <w:t xml:space="preserve">Review by </w:t>
      </w:r>
      <w:r>
        <w:rPr>
          <w:rFonts w:ascii="MS Reference Sans Serif" w:hAnsi="MS Reference Sans Serif"/>
          <w:sz w:val="24"/>
          <w:szCs w:val="24"/>
        </w:rPr>
        <w:t>– November 2026</w:t>
      </w:r>
    </w:p>
    <w:p w14:paraId="5C3446A9" w14:textId="77777777" w:rsidR="00E27BAD" w:rsidRPr="00E27BAD" w:rsidRDefault="00E27BAD" w:rsidP="00E27BAD">
      <w:pPr>
        <w:jc w:val="center"/>
        <w:rPr>
          <w:rFonts w:ascii="MS Reference Sans Serif" w:hAnsi="MS Reference Sans Serif"/>
          <w:sz w:val="24"/>
          <w:szCs w:val="24"/>
        </w:rPr>
      </w:pPr>
    </w:p>
    <w:p w14:paraId="69B377CC" w14:textId="49C971DD" w:rsidR="00E27BAD" w:rsidRPr="00E27BAD" w:rsidRDefault="00E27BAD" w:rsidP="00E27BAD">
      <w:pPr>
        <w:rPr>
          <w:rFonts w:ascii="MS Reference Sans Serif" w:hAnsi="MS Reference Sans Serif"/>
          <w:sz w:val="24"/>
          <w:szCs w:val="24"/>
        </w:rPr>
      </w:pPr>
      <w:r>
        <w:rPr>
          <w:rFonts w:ascii="MS Reference Sans Serif" w:hAnsi="MS Reference Sans Serif"/>
          <w:sz w:val="24"/>
          <w:szCs w:val="24"/>
        </w:rPr>
        <w:t>Horton</w:t>
      </w:r>
      <w:r w:rsidRPr="00E27BAD">
        <w:rPr>
          <w:rFonts w:ascii="MS Reference Sans Serif" w:hAnsi="MS Reference Sans Serif"/>
          <w:sz w:val="24"/>
          <w:szCs w:val="24"/>
        </w:rPr>
        <w:t xml:space="preserve"> Parish Council is committed to undertaking its duties and other activities in accordance with Health and Safety Legislation, and other legislative and official requirements, </w:t>
      </w:r>
      <w:proofErr w:type="gramStart"/>
      <w:r w:rsidRPr="00E27BAD">
        <w:rPr>
          <w:rFonts w:ascii="MS Reference Sans Serif" w:hAnsi="MS Reference Sans Serif"/>
          <w:sz w:val="24"/>
          <w:szCs w:val="24"/>
        </w:rPr>
        <w:t>in order to</w:t>
      </w:r>
      <w:proofErr w:type="gramEnd"/>
      <w:r w:rsidRPr="00E27BAD">
        <w:rPr>
          <w:rFonts w:ascii="MS Reference Sans Serif" w:hAnsi="MS Reference Sans Serif"/>
          <w:sz w:val="24"/>
          <w:szCs w:val="24"/>
        </w:rPr>
        <w:t xml:space="preserve"> deliver its services safely and effectively. The council is ultimately responsible for management of the risks associated with its functions, and it is supported by the clerk in delivering a safe and efficient workplace alongside service delivery to its local community. </w:t>
      </w:r>
    </w:p>
    <w:p w14:paraId="2507B171" w14:textId="0B9128D2" w:rsidR="00E27BAD" w:rsidRPr="00E27BAD" w:rsidRDefault="00E27BAD" w:rsidP="00E27BAD">
      <w:pPr>
        <w:rPr>
          <w:rFonts w:ascii="MS Reference Sans Serif" w:hAnsi="MS Reference Sans Serif"/>
          <w:sz w:val="24"/>
          <w:szCs w:val="24"/>
        </w:rPr>
      </w:pPr>
      <w:r w:rsidRPr="00E27BAD">
        <w:rPr>
          <w:rFonts w:ascii="MS Reference Sans Serif" w:hAnsi="MS Reference Sans Serif"/>
          <w:sz w:val="24"/>
          <w:szCs w:val="24"/>
        </w:rPr>
        <w:t xml:space="preserve">The council provides very limited facilities and services to its local community and has just one part-time employee, namely the clerk who is also the responsible financial officer. As the council has less than 5 employees, there is no requirement for a written Health and Safety Policy. Nevertheless, adherence to effective Health and Safety good practice is essential. Therefore, it is good practice to have a document which includes risk identification, assessment and mitigation management for activities as undertaken by, and on behalf of the council. The Health and Safety at Work Act 1974 is the primary legislation under which Health and Safety considerations are undertaken. Other legislation will also apply. </w:t>
      </w:r>
    </w:p>
    <w:p w14:paraId="6DDB6488" w14:textId="77777777" w:rsidR="00D05228" w:rsidRDefault="00E27BAD" w:rsidP="00D05228">
      <w:pPr>
        <w:rPr>
          <w:rFonts w:ascii="MS Reference Sans Serif" w:hAnsi="MS Reference Sans Serif"/>
          <w:sz w:val="24"/>
          <w:szCs w:val="24"/>
        </w:rPr>
      </w:pPr>
      <w:r w:rsidRPr="00E27BAD">
        <w:rPr>
          <w:rFonts w:ascii="MS Reference Sans Serif" w:hAnsi="MS Reference Sans Serif"/>
          <w:sz w:val="24"/>
          <w:szCs w:val="24"/>
        </w:rPr>
        <w:t>Unmanaged risk threatens the council’s ability to successfully achieve its aims and objectives. Whilst it is almost impossible to eliminate all risk, it is possible to reduce the likelihood of risk, and to mitigate against the consequences of that risk. Risk management is an integral part of the efficient discharge of the council’s duties and responsibilities to its employee, volunteers and the wider community.</w:t>
      </w:r>
    </w:p>
    <w:p w14:paraId="622A9BFF" w14:textId="77777777" w:rsidR="00D05228" w:rsidRDefault="00D05228" w:rsidP="00D05228">
      <w:pPr>
        <w:jc w:val="center"/>
        <w:rPr>
          <w:b/>
          <w:sz w:val="40"/>
          <w:szCs w:val="40"/>
        </w:rPr>
      </w:pPr>
    </w:p>
    <w:p w14:paraId="3E8C98D1" w14:textId="77777777" w:rsidR="00D05228" w:rsidRDefault="00D05228" w:rsidP="00F012EF">
      <w:pPr>
        <w:rPr>
          <w:b/>
          <w:sz w:val="40"/>
          <w:szCs w:val="40"/>
        </w:rPr>
      </w:pPr>
    </w:p>
    <w:p w14:paraId="75DA498E" w14:textId="77777777" w:rsidR="00602EE6" w:rsidRDefault="00602EE6" w:rsidP="00D05228">
      <w:pPr>
        <w:jc w:val="center"/>
        <w:rPr>
          <w:b/>
          <w:sz w:val="40"/>
          <w:szCs w:val="40"/>
        </w:rPr>
      </w:pPr>
    </w:p>
    <w:p w14:paraId="33715EB7" w14:textId="77777777" w:rsidR="00602EE6" w:rsidRDefault="00602EE6" w:rsidP="00D05228">
      <w:pPr>
        <w:jc w:val="center"/>
        <w:rPr>
          <w:b/>
          <w:sz w:val="40"/>
          <w:szCs w:val="40"/>
        </w:rPr>
      </w:pPr>
    </w:p>
    <w:p w14:paraId="0AFD5F69" w14:textId="5244C61E" w:rsidR="003F0B82" w:rsidRPr="00D05228" w:rsidRDefault="003F0B82" w:rsidP="00D05228">
      <w:pPr>
        <w:jc w:val="center"/>
        <w:rPr>
          <w:rFonts w:ascii="MS Reference Sans Serif" w:hAnsi="MS Reference Sans Serif"/>
          <w:sz w:val="24"/>
          <w:szCs w:val="24"/>
        </w:rPr>
      </w:pPr>
      <w:r w:rsidRPr="000F3444">
        <w:rPr>
          <w:b/>
          <w:sz w:val="40"/>
          <w:szCs w:val="40"/>
        </w:rPr>
        <w:lastRenderedPageBreak/>
        <w:t>HORTON PARISH COUNCIL</w:t>
      </w:r>
    </w:p>
    <w:p w14:paraId="1B5BC067" w14:textId="3404406E" w:rsidR="003F0B82" w:rsidRDefault="00C757DC" w:rsidP="00C757DC">
      <w:pPr>
        <w:jc w:val="center"/>
        <w:rPr>
          <w:b/>
          <w:bCs/>
          <w:sz w:val="40"/>
          <w:szCs w:val="40"/>
        </w:rPr>
      </w:pPr>
      <w:r w:rsidRPr="00C757DC">
        <w:rPr>
          <w:b/>
          <w:bCs/>
          <w:sz w:val="40"/>
          <w:szCs w:val="40"/>
        </w:rPr>
        <w:t>Risk Management</w:t>
      </w:r>
    </w:p>
    <w:p w14:paraId="18D001C8" w14:textId="7CAA327D" w:rsidR="003F0B82" w:rsidRPr="00D05228" w:rsidRDefault="00C757DC" w:rsidP="00E27BAD">
      <w:pPr>
        <w:rPr>
          <w:b/>
          <w:sz w:val="40"/>
          <w:szCs w:val="40"/>
        </w:rPr>
      </w:pPr>
      <w:r>
        <w:rPr>
          <w:b/>
          <w:bCs/>
          <w:sz w:val="40"/>
          <w:szCs w:val="40"/>
        </w:rPr>
        <w:t>Insurance</w:t>
      </w:r>
    </w:p>
    <w:tbl>
      <w:tblPr>
        <w:tblStyle w:val="TableGrid"/>
        <w:tblW w:w="0" w:type="auto"/>
        <w:tblLook w:val="04A0" w:firstRow="1" w:lastRow="0" w:firstColumn="1" w:lastColumn="0" w:noHBand="0" w:noVBand="1"/>
      </w:tblPr>
      <w:tblGrid>
        <w:gridCol w:w="1980"/>
        <w:gridCol w:w="1843"/>
        <w:gridCol w:w="1417"/>
        <w:gridCol w:w="8708"/>
      </w:tblGrid>
      <w:tr w:rsidR="00143146" w14:paraId="59FC039E" w14:textId="77777777" w:rsidTr="00143146">
        <w:tc>
          <w:tcPr>
            <w:tcW w:w="1980" w:type="dxa"/>
          </w:tcPr>
          <w:p w14:paraId="2C909617" w14:textId="77777777" w:rsidR="00F012EF" w:rsidRDefault="00F012EF" w:rsidP="00143146">
            <w:pPr>
              <w:rPr>
                <w:b/>
                <w:bCs/>
              </w:rPr>
            </w:pPr>
          </w:p>
          <w:p w14:paraId="256C0BFD" w14:textId="06E57A46" w:rsidR="00143146" w:rsidRPr="00F012EF" w:rsidRDefault="00143146" w:rsidP="00143146">
            <w:pPr>
              <w:rPr>
                <w:b/>
                <w:bCs/>
              </w:rPr>
            </w:pPr>
            <w:r>
              <w:rPr>
                <w:b/>
                <w:bCs/>
              </w:rPr>
              <w:t xml:space="preserve">Risk Description </w:t>
            </w:r>
          </w:p>
        </w:tc>
        <w:tc>
          <w:tcPr>
            <w:tcW w:w="1843" w:type="dxa"/>
          </w:tcPr>
          <w:p w14:paraId="7724D3C2" w14:textId="77777777" w:rsidR="00143146" w:rsidRDefault="00143146" w:rsidP="00143146">
            <w:pPr>
              <w:rPr>
                <w:b/>
                <w:bCs/>
              </w:rPr>
            </w:pPr>
          </w:p>
          <w:p w14:paraId="3D14AEE5" w14:textId="2CCD3E0B" w:rsidR="00F012EF" w:rsidRPr="00F012EF" w:rsidRDefault="00143146" w:rsidP="00F012EF">
            <w:pPr>
              <w:rPr>
                <w:b/>
                <w:bCs/>
              </w:rPr>
            </w:pPr>
            <w:r>
              <w:rPr>
                <w:b/>
                <w:bCs/>
              </w:rPr>
              <w:t xml:space="preserve">Risk Likelihood </w:t>
            </w:r>
          </w:p>
        </w:tc>
        <w:tc>
          <w:tcPr>
            <w:tcW w:w="1417" w:type="dxa"/>
          </w:tcPr>
          <w:p w14:paraId="61CECE51" w14:textId="77777777" w:rsidR="00143146" w:rsidRDefault="00143146" w:rsidP="00143146">
            <w:pPr>
              <w:rPr>
                <w:b/>
                <w:bCs/>
              </w:rPr>
            </w:pPr>
          </w:p>
          <w:p w14:paraId="5D8653B1" w14:textId="5ADCC06C" w:rsidR="00143146" w:rsidRDefault="00143146" w:rsidP="00143146">
            <w:pPr>
              <w:rPr>
                <w:rFonts w:ascii="MS Reference Sans Serif" w:hAnsi="MS Reference Sans Serif"/>
                <w:sz w:val="24"/>
                <w:szCs w:val="24"/>
              </w:rPr>
            </w:pPr>
            <w:r>
              <w:rPr>
                <w:b/>
                <w:bCs/>
              </w:rPr>
              <w:t xml:space="preserve">Risk Impact </w:t>
            </w:r>
          </w:p>
        </w:tc>
        <w:tc>
          <w:tcPr>
            <w:tcW w:w="8708" w:type="dxa"/>
          </w:tcPr>
          <w:p w14:paraId="57116823" w14:textId="77777777" w:rsidR="00143146" w:rsidRDefault="00143146" w:rsidP="00143146">
            <w:pPr>
              <w:rPr>
                <w:b/>
                <w:bCs/>
              </w:rPr>
            </w:pPr>
          </w:p>
          <w:p w14:paraId="0CBC74F8" w14:textId="55CDE685" w:rsidR="00143146" w:rsidRDefault="00143146" w:rsidP="00143146">
            <w:pPr>
              <w:rPr>
                <w:b/>
                <w:bCs/>
              </w:rPr>
            </w:pPr>
            <w:r>
              <w:rPr>
                <w:b/>
                <w:bCs/>
              </w:rPr>
              <w:t xml:space="preserve">Measures Taken and Mitigation Controls </w:t>
            </w:r>
          </w:p>
          <w:p w14:paraId="0EB4E638" w14:textId="77777777" w:rsidR="00143146" w:rsidRDefault="00143146" w:rsidP="00143146">
            <w:pPr>
              <w:rPr>
                <w:rFonts w:ascii="MS Reference Sans Serif" w:hAnsi="MS Reference Sans Serif"/>
                <w:bCs/>
              </w:rPr>
            </w:pPr>
          </w:p>
          <w:p w14:paraId="0545989A" w14:textId="1AD570F8" w:rsidR="00143146" w:rsidRDefault="00143146" w:rsidP="00143146">
            <w:pPr>
              <w:rPr>
                <w:rFonts w:ascii="MS Reference Sans Serif" w:hAnsi="MS Reference Sans Serif"/>
                <w:sz w:val="24"/>
                <w:szCs w:val="24"/>
              </w:rPr>
            </w:pPr>
          </w:p>
        </w:tc>
      </w:tr>
    </w:tbl>
    <w:tbl>
      <w:tblPr>
        <w:tblStyle w:val="TableGrid"/>
        <w:tblW w:w="0" w:type="auto"/>
        <w:tblLayout w:type="fixed"/>
        <w:tblLook w:val="04A0" w:firstRow="1" w:lastRow="0" w:firstColumn="1" w:lastColumn="0" w:noHBand="0" w:noVBand="1"/>
      </w:tblPr>
      <w:tblGrid>
        <w:gridCol w:w="1980"/>
        <w:gridCol w:w="1843"/>
        <w:gridCol w:w="1417"/>
        <w:gridCol w:w="8708"/>
      </w:tblGrid>
      <w:tr w:rsidR="00143146" w14:paraId="721731A7" w14:textId="77777777" w:rsidTr="00143146">
        <w:trPr>
          <w:trHeight w:val="395"/>
        </w:trPr>
        <w:tc>
          <w:tcPr>
            <w:tcW w:w="1980" w:type="dxa"/>
          </w:tcPr>
          <w:p w14:paraId="180330BD" w14:textId="77777777" w:rsidR="00143146" w:rsidRDefault="00143146">
            <w:pPr>
              <w:pStyle w:val="Default"/>
              <w:rPr>
                <w:sz w:val="22"/>
                <w:szCs w:val="22"/>
              </w:rPr>
            </w:pPr>
            <w:r>
              <w:rPr>
                <w:sz w:val="22"/>
                <w:szCs w:val="22"/>
              </w:rPr>
              <w:t xml:space="preserve">Damage to third party property or injury to individuals. </w:t>
            </w:r>
          </w:p>
        </w:tc>
        <w:tc>
          <w:tcPr>
            <w:tcW w:w="1843" w:type="dxa"/>
          </w:tcPr>
          <w:p w14:paraId="4D716FFE" w14:textId="77777777" w:rsidR="00143146" w:rsidRDefault="00143146">
            <w:pPr>
              <w:pStyle w:val="Default"/>
              <w:rPr>
                <w:sz w:val="22"/>
                <w:szCs w:val="22"/>
              </w:rPr>
            </w:pPr>
            <w:r>
              <w:rPr>
                <w:sz w:val="22"/>
                <w:szCs w:val="22"/>
              </w:rPr>
              <w:t xml:space="preserve">L </w:t>
            </w:r>
          </w:p>
        </w:tc>
        <w:tc>
          <w:tcPr>
            <w:tcW w:w="1417" w:type="dxa"/>
          </w:tcPr>
          <w:p w14:paraId="13E238FF" w14:textId="77777777" w:rsidR="00143146" w:rsidRDefault="00143146">
            <w:pPr>
              <w:pStyle w:val="Default"/>
              <w:rPr>
                <w:sz w:val="22"/>
                <w:szCs w:val="22"/>
              </w:rPr>
            </w:pPr>
            <w:r>
              <w:rPr>
                <w:sz w:val="22"/>
                <w:szCs w:val="22"/>
              </w:rPr>
              <w:t xml:space="preserve">H </w:t>
            </w:r>
          </w:p>
        </w:tc>
        <w:tc>
          <w:tcPr>
            <w:tcW w:w="8708" w:type="dxa"/>
          </w:tcPr>
          <w:p w14:paraId="68B13A51" w14:textId="77777777" w:rsidR="00143146" w:rsidRDefault="00143146">
            <w:pPr>
              <w:pStyle w:val="Default"/>
              <w:rPr>
                <w:sz w:val="22"/>
                <w:szCs w:val="22"/>
              </w:rPr>
            </w:pPr>
            <w:r>
              <w:rPr>
                <w:sz w:val="22"/>
                <w:szCs w:val="22"/>
              </w:rPr>
              <w:t xml:space="preserve">Public Liability Insurance is in place and a check at renewal on levels of cover, is undertaken to ensure financial cover is adequate </w:t>
            </w:r>
          </w:p>
        </w:tc>
      </w:tr>
      <w:tr w:rsidR="00143146" w14:paraId="6B7A9E4A" w14:textId="77777777" w:rsidTr="00143146">
        <w:trPr>
          <w:trHeight w:val="540"/>
        </w:trPr>
        <w:tc>
          <w:tcPr>
            <w:tcW w:w="1980" w:type="dxa"/>
          </w:tcPr>
          <w:p w14:paraId="6DD25D1A" w14:textId="77777777" w:rsidR="00143146" w:rsidRDefault="00143146">
            <w:pPr>
              <w:pStyle w:val="Default"/>
              <w:rPr>
                <w:sz w:val="22"/>
                <w:szCs w:val="22"/>
              </w:rPr>
            </w:pPr>
            <w:r>
              <w:rPr>
                <w:sz w:val="22"/>
                <w:szCs w:val="22"/>
              </w:rPr>
              <w:t xml:space="preserve">Protection of Council Properties and equipment </w:t>
            </w:r>
          </w:p>
        </w:tc>
        <w:tc>
          <w:tcPr>
            <w:tcW w:w="1843" w:type="dxa"/>
          </w:tcPr>
          <w:p w14:paraId="3A4AA2A9" w14:textId="77777777" w:rsidR="00143146" w:rsidRDefault="00143146">
            <w:pPr>
              <w:pStyle w:val="Default"/>
              <w:rPr>
                <w:sz w:val="22"/>
                <w:szCs w:val="22"/>
              </w:rPr>
            </w:pPr>
            <w:r>
              <w:rPr>
                <w:sz w:val="22"/>
                <w:szCs w:val="22"/>
              </w:rPr>
              <w:t xml:space="preserve">M </w:t>
            </w:r>
          </w:p>
        </w:tc>
        <w:tc>
          <w:tcPr>
            <w:tcW w:w="1417" w:type="dxa"/>
          </w:tcPr>
          <w:p w14:paraId="5C4EFCBE" w14:textId="77777777" w:rsidR="00143146" w:rsidRDefault="00143146">
            <w:pPr>
              <w:pStyle w:val="Default"/>
              <w:rPr>
                <w:sz w:val="22"/>
                <w:szCs w:val="22"/>
              </w:rPr>
            </w:pPr>
            <w:r>
              <w:rPr>
                <w:sz w:val="22"/>
                <w:szCs w:val="22"/>
              </w:rPr>
              <w:t xml:space="preserve">M </w:t>
            </w:r>
          </w:p>
        </w:tc>
        <w:tc>
          <w:tcPr>
            <w:tcW w:w="8708" w:type="dxa"/>
          </w:tcPr>
          <w:p w14:paraId="5D42EC93" w14:textId="77777777" w:rsidR="00143146" w:rsidRDefault="00143146">
            <w:pPr>
              <w:pStyle w:val="Default"/>
              <w:rPr>
                <w:sz w:val="22"/>
                <w:szCs w:val="22"/>
              </w:rPr>
            </w:pPr>
            <w:r>
              <w:rPr>
                <w:sz w:val="22"/>
                <w:szCs w:val="22"/>
              </w:rPr>
              <w:t xml:space="preserve">Appropriate levels of cover are in place for all major fixed assets listed on the Parish Council Asset Register. These include defibrillator and cabinet, war memorial, bus shelter, clerk’s laptop, benches, and some winter grit bins. At least annually, asset checks are undertaken to satisfy insurers requirements, should a claim need to be made. </w:t>
            </w:r>
          </w:p>
        </w:tc>
      </w:tr>
      <w:tr w:rsidR="00A11A23" w14:paraId="69F31E65" w14:textId="77777777" w:rsidTr="00A11A23">
        <w:trPr>
          <w:trHeight w:val="248"/>
        </w:trPr>
        <w:tc>
          <w:tcPr>
            <w:tcW w:w="1980" w:type="dxa"/>
          </w:tcPr>
          <w:p w14:paraId="25F7BA38" w14:textId="77777777" w:rsidR="00A11A23" w:rsidRDefault="00A11A23">
            <w:pPr>
              <w:pStyle w:val="Default"/>
              <w:rPr>
                <w:sz w:val="22"/>
                <w:szCs w:val="22"/>
              </w:rPr>
            </w:pPr>
            <w:r>
              <w:rPr>
                <w:sz w:val="22"/>
                <w:szCs w:val="22"/>
              </w:rPr>
              <w:t xml:space="preserve">Insolvency of insurance company </w:t>
            </w:r>
          </w:p>
        </w:tc>
        <w:tc>
          <w:tcPr>
            <w:tcW w:w="1843" w:type="dxa"/>
          </w:tcPr>
          <w:p w14:paraId="2BAFC219" w14:textId="77777777" w:rsidR="00A11A23" w:rsidRDefault="00A11A23">
            <w:pPr>
              <w:pStyle w:val="Default"/>
              <w:rPr>
                <w:sz w:val="22"/>
                <w:szCs w:val="22"/>
              </w:rPr>
            </w:pPr>
            <w:r>
              <w:rPr>
                <w:sz w:val="22"/>
                <w:szCs w:val="22"/>
              </w:rPr>
              <w:t xml:space="preserve">L </w:t>
            </w:r>
          </w:p>
        </w:tc>
        <w:tc>
          <w:tcPr>
            <w:tcW w:w="1417" w:type="dxa"/>
          </w:tcPr>
          <w:p w14:paraId="10B60510" w14:textId="77777777" w:rsidR="00A11A23" w:rsidRDefault="00A11A23">
            <w:pPr>
              <w:pStyle w:val="Default"/>
              <w:rPr>
                <w:sz w:val="22"/>
                <w:szCs w:val="22"/>
              </w:rPr>
            </w:pPr>
            <w:r>
              <w:rPr>
                <w:sz w:val="22"/>
                <w:szCs w:val="22"/>
              </w:rPr>
              <w:t xml:space="preserve">M </w:t>
            </w:r>
          </w:p>
        </w:tc>
        <w:tc>
          <w:tcPr>
            <w:tcW w:w="8708" w:type="dxa"/>
          </w:tcPr>
          <w:p w14:paraId="31ECF155" w14:textId="77777777" w:rsidR="00A11A23" w:rsidRDefault="00A11A23">
            <w:pPr>
              <w:pStyle w:val="Default"/>
              <w:rPr>
                <w:sz w:val="22"/>
                <w:szCs w:val="22"/>
              </w:rPr>
            </w:pPr>
            <w:r>
              <w:rPr>
                <w:sz w:val="22"/>
                <w:szCs w:val="22"/>
              </w:rPr>
              <w:t xml:space="preserve">Council uses one of the largest companies providing specialist cover for Local Councils. </w:t>
            </w:r>
          </w:p>
        </w:tc>
      </w:tr>
      <w:tr w:rsidR="00A11A23" w14:paraId="61B95C6A" w14:textId="77777777" w:rsidTr="00A11A23">
        <w:trPr>
          <w:trHeight w:val="830"/>
        </w:trPr>
        <w:tc>
          <w:tcPr>
            <w:tcW w:w="1980" w:type="dxa"/>
          </w:tcPr>
          <w:p w14:paraId="43413367" w14:textId="77777777" w:rsidR="00A11A23" w:rsidRDefault="00A11A23">
            <w:pPr>
              <w:pStyle w:val="Default"/>
              <w:rPr>
                <w:sz w:val="22"/>
                <w:szCs w:val="22"/>
              </w:rPr>
            </w:pPr>
            <w:r>
              <w:rPr>
                <w:sz w:val="22"/>
                <w:szCs w:val="22"/>
              </w:rPr>
              <w:t xml:space="preserve">Loss through theft or dishonesty </w:t>
            </w:r>
          </w:p>
        </w:tc>
        <w:tc>
          <w:tcPr>
            <w:tcW w:w="1843" w:type="dxa"/>
          </w:tcPr>
          <w:p w14:paraId="375DDD85" w14:textId="77777777" w:rsidR="00A11A23" w:rsidRDefault="00A11A23">
            <w:pPr>
              <w:pStyle w:val="Default"/>
              <w:rPr>
                <w:sz w:val="22"/>
                <w:szCs w:val="22"/>
              </w:rPr>
            </w:pPr>
            <w:r>
              <w:rPr>
                <w:sz w:val="22"/>
                <w:szCs w:val="22"/>
              </w:rPr>
              <w:t xml:space="preserve">L </w:t>
            </w:r>
          </w:p>
        </w:tc>
        <w:tc>
          <w:tcPr>
            <w:tcW w:w="1417" w:type="dxa"/>
          </w:tcPr>
          <w:p w14:paraId="27080EC2" w14:textId="77777777" w:rsidR="00A11A23" w:rsidRDefault="00A11A23">
            <w:pPr>
              <w:pStyle w:val="Default"/>
              <w:rPr>
                <w:sz w:val="22"/>
                <w:szCs w:val="22"/>
              </w:rPr>
            </w:pPr>
            <w:r>
              <w:rPr>
                <w:sz w:val="22"/>
                <w:szCs w:val="22"/>
              </w:rPr>
              <w:t xml:space="preserve">H </w:t>
            </w:r>
          </w:p>
        </w:tc>
        <w:tc>
          <w:tcPr>
            <w:tcW w:w="8708" w:type="dxa"/>
          </w:tcPr>
          <w:p w14:paraId="7B2B0157" w14:textId="77777777" w:rsidR="00A11A23" w:rsidRDefault="00A11A23">
            <w:pPr>
              <w:pStyle w:val="Default"/>
              <w:rPr>
                <w:sz w:val="22"/>
                <w:szCs w:val="22"/>
              </w:rPr>
            </w:pPr>
            <w:r>
              <w:rPr>
                <w:sz w:val="22"/>
                <w:szCs w:val="22"/>
              </w:rPr>
              <w:t xml:space="preserve">References are obtained and ‘right to work’ established prior to appointment of employees. The clerk is in possession of an enhanced DBS check. Annual reviews of staff performance. Fidelity Guarantee in contracts of employment. </w:t>
            </w:r>
          </w:p>
          <w:p w14:paraId="3BDF50C8" w14:textId="77777777" w:rsidR="00A11A23" w:rsidRDefault="00A11A23">
            <w:pPr>
              <w:pStyle w:val="Default"/>
              <w:rPr>
                <w:sz w:val="22"/>
                <w:szCs w:val="22"/>
              </w:rPr>
            </w:pPr>
            <w:r>
              <w:rPr>
                <w:sz w:val="22"/>
                <w:szCs w:val="22"/>
              </w:rPr>
              <w:t xml:space="preserve">Fidelity insurance. </w:t>
            </w:r>
          </w:p>
          <w:p w14:paraId="012ACAF9" w14:textId="77777777" w:rsidR="00A11A23" w:rsidRDefault="00A11A23">
            <w:pPr>
              <w:pStyle w:val="Default"/>
              <w:rPr>
                <w:sz w:val="22"/>
                <w:szCs w:val="22"/>
              </w:rPr>
            </w:pPr>
            <w:r>
              <w:rPr>
                <w:sz w:val="22"/>
                <w:szCs w:val="22"/>
              </w:rPr>
              <w:t xml:space="preserve">Effective Control Measures are in place and regularly reviewed. Adherence to regularly reviewed policies and procedures </w:t>
            </w:r>
          </w:p>
        </w:tc>
      </w:tr>
      <w:tr w:rsidR="00A11A23" w14:paraId="4A88EEC7" w14:textId="77777777" w:rsidTr="00A11A23">
        <w:trPr>
          <w:trHeight w:val="685"/>
        </w:trPr>
        <w:tc>
          <w:tcPr>
            <w:tcW w:w="1980" w:type="dxa"/>
          </w:tcPr>
          <w:p w14:paraId="0897F767" w14:textId="77777777" w:rsidR="00A11A23" w:rsidRDefault="00A11A23">
            <w:pPr>
              <w:pStyle w:val="Default"/>
              <w:rPr>
                <w:sz w:val="22"/>
                <w:szCs w:val="22"/>
              </w:rPr>
            </w:pPr>
            <w:r>
              <w:rPr>
                <w:sz w:val="22"/>
                <w:szCs w:val="22"/>
              </w:rPr>
              <w:t xml:space="preserve">Personal Accident to Members and Officers Assault to Officers </w:t>
            </w:r>
          </w:p>
          <w:p w14:paraId="48FACE88" w14:textId="77777777" w:rsidR="00A11A23" w:rsidRDefault="00A11A23">
            <w:pPr>
              <w:pStyle w:val="Default"/>
              <w:rPr>
                <w:sz w:val="22"/>
                <w:szCs w:val="22"/>
              </w:rPr>
            </w:pPr>
            <w:r>
              <w:rPr>
                <w:sz w:val="22"/>
                <w:szCs w:val="22"/>
              </w:rPr>
              <w:t xml:space="preserve">Libel and Slander </w:t>
            </w:r>
          </w:p>
          <w:p w14:paraId="58D22660" w14:textId="77777777" w:rsidR="00A11A23" w:rsidRDefault="00A11A23">
            <w:pPr>
              <w:pStyle w:val="Default"/>
              <w:rPr>
                <w:sz w:val="22"/>
                <w:szCs w:val="22"/>
              </w:rPr>
            </w:pPr>
            <w:r>
              <w:rPr>
                <w:sz w:val="22"/>
                <w:szCs w:val="22"/>
              </w:rPr>
              <w:t xml:space="preserve">Officials Indemnity </w:t>
            </w:r>
          </w:p>
        </w:tc>
        <w:tc>
          <w:tcPr>
            <w:tcW w:w="1843" w:type="dxa"/>
          </w:tcPr>
          <w:p w14:paraId="11170B18" w14:textId="77777777" w:rsidR="00A11A23" w:rsidRDefault="00A11A23">
            <w:pPr>
              <w:pStyle w:val="Default"/>
              <w:rPr>
                <w:sz w:val="22"/>
                <w:szCs w:val="22"/>
              </w:rPr>
            </w:pPr>
            <w:r>
              <w:rPr>
                <w:sz w:val="22"/>
                <w:szCs w:val="22"/>
              </w:rPr>
              <w:t xml:space="preserve">L </w:t>
            </w:r>
          </w:p>
        </w:tc>
        <w:tc>
          <w:tcPr>
            <w:tcW w:w="1417" w:type="dxa"/>
          </w:tcPr>
          <w:p w14:paraId="3C113F82" w14:textId="77777777" w:rsidR="00A11A23" w:rsidRDefault="00A11A23">
            <w:pPr>
              <w:pStyle w:val="Default"/>
              <w:rPr>
                <w:sz w:val="22"/>
                <w:szCs w:val="22"/>
              </w:rPr>
            </w:pPr>
            <w:r>
              <w:rPr>
                <w:sz w:val="22"/>
                <w:szCs w:val="22"/>
              </w:rPr>
              <w:t xml:space="preserve">H </w:t>
            </w:r>
          </w:p>
        </w:tc>
        <w:tc>
          <w:tcPr>
            <w:tcW w:w="8708" w:type="dxa"/>
          </w:tcPr>
          <w:p w14:paraId="7CBE2302" w14:textId="77777777" w:rsidR="00A11A23" w:rsidRDefault="00A11A23">
            <w:pPr>
              <w:pStyle w:val="Default"/>
              <w:rPr>
                <w:sz w:val="22"/>
                <w:szCs w:val="22"/>
              </w:rPr>
            </w:pPr>
            <w:r>
              <w:rPr>
                <w:sz w:val="22"/>
                <w:szCs w:val="22"/>
              </w:rPr>
              <w:t xml:space="preserve">Compulsory Employers Liability Insurance is in place. </w:t>
            </w:r>
          </w:p>
          <w:p w14:paraId="2551FA31" w14:textId="77777777" w:rsidR="00A11A23" w:rsidRDefault="00A11A23">
            <w:pPr>
              <w:pStyle w:val="Default"/>
              <w:rPr>
                <w:sz w:val="22"/>
                <w:szCs w:val="22"/>
              </w:rPr>
            </w:pPr>
            <w:r>
              <w:rPr>
                <w:sz w:val="22"/>
                <w:szCs w:val="22"/>
              </w:rPr>
              <w:t xml:space="preserve">Insurance is to cover employees, councillors and volunteers. </w:t>
            </w:r>
          </w:p>
          <w:p w14:paraId="54F7E405" w14:textId="77777777" w:rsidR="00A11A23" w:rsidRDefault="00A11A23">
            <w:pPr>
              <w:pStyle w:val="Default"/>
              <w:rPr>
                <w:sz w:val="22"/>
                <w:szCs w:val="22"/>
              </w:rPr>
            </w:pPr>
            <w:r>
              <w:rPr>
                <w:sz w:val="22"/>
                <w:szCs w:val="22"/>
              </w:rPr>
              <w:t xml:space="preserve">Levels of cover are reviewed at renewal. </w:t>
            </w:r>
          </w:p>
          <w:p w14:paraId="44F372D3" w14:textId="77777777" w:rsidR="00A11A23" w:rsidRDefault="00A11A23">
            <w:pPr>
              <w:pStyle w:val="Default"/>
              <w:rPr>
                <w:sz w:val="22"/>
                <w:szCs w:val="22"/>
              </w:rPr>
            </w:pPr>
            <w:r>
              <w:rPr>
                <w:sz w:val="22"/>
                <w:szCs w:val="22"/>
              </w:rPr>
              <w:t xml:space="preserve">The clerk, councillors and any volunteers are to be adequately trained to undertake any tasks they are required to do. </w:t>
            </w:r>
          </w:p>
        </w:tc>
      </w:tr>
    </w:tbl>
    <w:p w14:paraId="4085DC30" w14:textId="77777777" w:rsidR="00E26A6E" w:rsidRDefault="00E26A6E" w:rsidP="00E27BAD">
      <w:pPr>
        <w:rPr>
          <w:rFonts w:ascii="MS Reference Sans Serif" w:hAnsi="MS Reference Sans Serif"/>
          <w:sz w:val="24"/>
          <w:szCs w:val="24"/>
        </w:rPr>
      </w:pPr>
    </w:p>
    <w:p w14:paraId="0E734A20" w14:textId="77777777" w:rsidR="007B4CE3" w:rsidRDefault="007B4CE3" w:rsidP="0083441B">
      <w:pPr>
        <w:jc w:val="center"/>
        <w:rPr>
          <w:b/>
          <w:sz w:val="40"/>
          <w:szCs w:val="40"/>
        </w:rPr>
      </w:pPr>
    </w:p>
    <w:p w14:paraId="33E605B5" w14:textId="77777777" w:rsidR="007B4CE3" w:rsidRDefault="007B4CE3" w:rsidP="0083441B">
      <w:pPr>
        <w:jc w:val="center"/>
        <w:rPr>
          <w:b/>
          <w:sz w:val="40"/>
          <w:szCs w:val="40"/>
        </w:rPr>
      </w:pPr>
    </w:p>
    <w:p w14:paraId="319F9546" w14:textId="77777777" w:rsidR="007B4CE3" w:rsidRDefault="007B4CE3" w:rsidP="0083441B">
      <w:pPr>
        <w:jc w:val="center"/>
        <w:rPr>
          <w:b/>
          <w:sz w:val="40"/>
          <w:szCs w:val="40"/>
        </w:rPr>
      </w:pPr>
    </w:p>
    <w:p w14:paraId="1850F104" w14:textId="1A75BB4F" w:rsidR="0083441B" w:rsidRPr="00D05228" w:rsidRDefault="0083441B" w:rsidP="0083441B">
      <w:pPr>
        <w:jc w:val="center"/>
        <w:rPr>
          <w:rFonts w:ascii="MS Reference Sans Serif" w:hAnsi="MS Reference Sans Serif"/>
          <w:sz w:val="24"/>
          <w:szCs w:val="24"/>
        </w:rPr>
      </w:pPr>
      <w:bookmarkStart w:id="0" w:name="_Hlk213411271"/>
      <w:r w:rsidRPr="000F3444">
        <w:rPr>
          <w:b/>
          <w:sz w:val="40"/>
          <w:szCs w:val="40"/>
        </w:rPr>
        <w:t>HORTON PARISH COUNCIL</w:t>
      </w:r>
    </w:p>
    <w:bookmarkEnd w:id="0"/>
    <w:p w14:paraId="5554265F" w14:textId="4610B3E7" w:rsidR="0083441B" w:rsidRDefault="0083441B" w:rsidP="00E27BAD">
      <w:pPr>
        <w:rPr>
          <w:rFonts w:ascii="MS Reference Sans Serif" w:hAnsi="MS Reference Sans Serif"/>
          <w:sz w:val="24"/>
          <w:szCs w:val="24"/>
        </w:rPr>
      </w:pPr>
      <w:r w:rsidRPr="0083441B">
        <w:rPr>
          <w:rFonts w:ascii="MS Reference Sans Serif" w:hAnsi="MS Reference Sans Serif"/>
          <w:b/>
          <w:bCs/>
          <w:sz w:val="24"/>
          <w:szCs w:val="24"/>
        </w:rPr>
        <w:t>AREAS OF SELF MANAGED RISK</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76"/>
        <w:gridCol w:w="1134"/>
        <w:gridCol w:w="993"/>
        <w:gridCol w:w="10677"/>
      </w:tblGrid>
      <w:tr w:rsidR="0083441B" w:rsidRPr="0083441B" w14:paraId="02E2FB3B" w14:textId="77777777" w:rsidTr="00831F0B">
        <w:tblPrEx>
          <w:tblCellMar>
            <w:top w:w="0" w:type="dxa"/>
            <w:bottom w:w="0" w:type="dxa"/>
          </w:tblCellMar>
        </w:tblPrEx>
        <w:trPr>
          <w:trHeight w:val="248"/>
        </w:trPr>
        <w:tc>
          <w:tcPr>
            <w:tcW w:w="2376" w:type="dxa"/>
            <w:tcBorders>
              <w:top w:val="none" w:sz="6" w:space="0" w:color="auto"/>
              <w:bottom w:val="none" w:sz="6" w:space="0" w:color="auto"/>
              <w:right w:val="none" w:sz="6" w:space="0" w:color="auto"/>
            </w:tcBorders>
          </w:tcPr>
          <w:p w14:paraId="1E23E6CE" w14:textId="77777777" w:rsidR="0083441B" w:rsidRPr="0083441B" w:rsidRDefault="0083441B" w:rsidP="0083441B">
            <w:pPr>
              <w:rPr>
                <w:rFonts w:ascii="Arial" w:hAnsi="Arial" w:cs="Arial"/>
              </w:rPr>
            </w:pPr>
            <w:r w:rsidRPr="0083441B">
              <w:rPr>
                <w:rFonts w:ascii="Arial" w:hAnsi="Arial" w:cs="Arial"/>
                <w:b/>
                <w:bCs/>
              </w:rPr>
              <w:t xml:space="preserve">Risk Description </w:t>
            </w:r>
          </w:p>
        </w:tc>
        <w:tc>
          <w:tcPr>
            <w:tcW w:w="1134" w:type="dxa"/>
            <w:tcBorders>
              <w:top w:val="none" w:sz="6" w:space="0" w:color="auto"/>
              <w:left w:val="none" w:sz="6" w:space="0" w:color="auto"/>
              <w:bottom w:val="none" w:sz="6" w:space="0" w:color="auto"/>
              <w:right w:val="none" w:sz="6" w:space="0" w:color="auto"/>
            </w:tcBorders>
          </w:tcPr>
          <w:p w14:paraId="625A3D28" w14:textId="773E9F55" w:rsidR="0083441B" w:rsidRPr="0083441B" w:rsidRDefault="0083441B" w:rsidP="00831F0B">
            <w:pPr>
              <w:rPr>
                <w:rFonts w:ascii="Arial" w:hAnsi="Arial" w:cs="Arial"/>
                <w:b/>
                <w:bCs/>
              </w:rPr>
            </w:pPr>
            <w:r w:rsidRPr="0083441B">
              <w:rPr>
                <w:rFonts w:ascii="Arial" w:hAnsi="Arial" w:cs="Arial"/>
                <w:b/>
                <w:bCs/>
              </w:rPr>
              <w:t xml:space="preserve">Risk </w:t>
            </w:r>
            <w:r w:rsidRPr="0083441B">
              <w:rPr>
                <w:rFonts w:ascii="Arial" w:hAnsi="Arial" w:cs="Arial"/>
                <w:b/>
                <w:bCs/>
                <w:sz w:val="18"/>
                <w:szCs w:val="18"/>
              </w:rPr>
              <w:t>Likelihood</w:t>
            </w:r>
          </w:p>
        </w:tc>
        <w:tc>
          <w:tcPr>
            <w:tcW w:w="993" w:type="dxa"/>
            <w:tcBorders>
              <w:top w:val="none" w:sz="6" w:space="0" w:color="auto"/>
              <w:left w:val="none" w:sz="6" w:space="0" w:color="auto"/>
              <w:bottom w:val="none" w:sz="6" w:space="0" w:color="auto"/>
              <w:right w:val="none" w:sz="6" w:space="0" w:color="auto"/>
            </w:tcBorders>
          </w:tcPr>
          <w:p w14:paraId="3AE91CF2" w14:textId="5336C55F" w:rsidR="0083441B" w:rsidRPr="0083441B" w:rsidRDefault="0083441B" w:rsidP="0083441B">
            <w:pPr>
              <w:rPr>
                <w:rFonts w:ascii="MS Reference Sans Serif" w:hAnsi="MS Reference Sans Serif"/>
                <w:b/>
                <w:bCs/>
                <w:sz w:val="20"/>
                <w:szCs w:val="20"/>
              </w:rPr>
            </w:pPr>
            <w:r w:rsidRPr="0083441B">
              <w:rPr>
                <w:rFonts w:ascii="MS Reference Sans Serif" w:hAnsi="MS Reference Sans Serif"/>
                <w:b/>
                <w:bCs/>
                <w:sz w:val="20"/>
                <w:szCs w:val="20"/>
              </w:rPr>
              <w:t xml:space="preserve">Risk Impact </w:t>
            </w:r>
          </w:p>
        </w:tc>
        <w:tc>
          <w:tcPr>
            <w:tcW w:w="10677" w:type="dxa"/>
            <w:tcBorders>
              <w:top w:val="none" w:sz="6" w:space="0" w:color="auto"/>
              <w:left w:val="none" w:sz="6" w:space="0" w:color="auto"/>
              <w:bottom w:val="none" w:sz="6" w:space="0" w:color="auto"/>
            </w:tcBorders>
          </w:tcPr>
          <w:p w14:paraId="1C083B98" w14:textId="77777777" w:rsidR="0083441B" w:rsidRPr="0083441B" w:rsidRDefault="0083441B" w:rsidP="0083441B">
            <w:pPr>
              <w:rPr>
                <w:rFonts w:ascii="MS Reference Sans Serif" w:hAnsi="MS Reference Sans Serif"/>
              </w:rPr>
            </w:pPr>
            <w:r w:rsidRPr="0083441B">
              <w:rPr>
                <w:rFonts w:ascii="MS Reference Sans Serif" w:hAnsi="MS Reference Sans Serif"/>
                <w:b/>
                <w:bCs/>
              </w:rPr>
              <w:t xml:space="preserve">Measures Taken and Mitigation Controls </w:t>
            </w:r>
          </w:p>
        </w:tc>
      </w:tr>
      <w:tr w:rsidR="0083441B" w:rsidRPr="0083441B" w14:paraId="08D24D06" w14:textId="77777777" w:rsidTr="00831F0B">
        <w:tblPrEx>
          <w:tblCellMar>
            <w:top w:w="0" w:type="dxa"/>
            <w:bottom w:w="0" w:type="dxa"/>
          </w:tblCellMar>
        </w:tblPrEx>
        <w:trPr>
          <w:trHeight w:val="1421"/>
        </w:trPr>
        <w:tc>
          <w:tcPr>
            <w:tcW w:w="2376" w:type="dxa"/>
            <w:tcBorders>
              <w:top w:val="none" w:sz="6" w:space="0" w:color="auto"/>
              <w:bottom w:val="none" w:sz="6" w:space="0" w:color="auto"/>
              <w:right w:val="none" w:sz="6" w:space="0" w:color="auto"/>
            </w:tcBorders>
          </w:tcPr>
          <w:p w14:paraId="58CCC513" w14:textId="77777777" w:rsidR="0083441B" w:rsidRPr="0083441B" w:rsidRDefault="0083441B" w:rsidP="0083441B">
            <w:pPr>
              <w:rPr>
                <w:rFonts w:ascii="Arial" w:hAnsi="Arial" w:cs="Arial"/>
              </w:rPr>
            </w:pPr>
            <w:r w:rsidRPr="0083441B">
              <w:rPr>
                <w:rFonts w:ascii="Arial" w:hAnsi="Arial" w:cs="Arial"/>
              </w:rPr>
              <w:t xml:space="preserve">Damage to, and safety of fixed assets as listed on the Parish Council Asset Register. </w:t>
            </w:r>
          </w:p>
        </w:tc>
        <w:tc>
          <w:tcPr>
            <w:tcW w:w="1134" w:type="dxa"/>
            <w:tcBorders>
              <w:top w:val="none" w:sz="6" w:space="0" w:color="auto"/>
              <w:left w:val="none" w:sz="6" w:space="0" w:color="auto"/>
              <w:bottom w:val="none" w:sz="6" w:space="0" w:color="auto"/>
              <w:right w:val="none" w:sz="6" w:space="0" w:color="auto"/>
            </w:tcBorders>
          </w:tcPr>
          <w:p w14:paraId="42B13E0D" w14:textId="77777777" w:rsidR="0083441B" w:rsidRPr="0083441B" w:rsidRDefault="0083441B" w:rsidP="0083441B">
            <w:pPr>
              <w:rPr>
                <w:rFonts w:ascii="Arial" w:hAnsi="Arial" w:cs="Arial"/>
              </w:rPr>
            </w:pPr>
            <w:r w:rsidRPr="0083441B">
              <w:rPr>
                <w:rFonts w:ascii="Arial" w:hAnsi="Arial" w:cs="Arial"/>
              </w:rPr>
              <w:t xml:space="preserve">L </w:t>
            </w:r>
          </w:p>
        </w:tc>
        <w:tc>
          <w:tcPr>
            <w:tcW w:w="993" w:type="dxa"/>
            <w:tcBorders>
              <w:top w:val="none" w:sz="6" w:space="0" w:color="auto"/>
              <w:left w:val="none" w:sz="6" w:space="0" w:color="auto"/>
              <w:bottom w:val="none" w:sz="6" w:space="0" w:color="auto"/>
              <w:right w:val="none" w:sz="6" w:space="0" w:color="auto"/>
            </w:tcBorders>
          </w:tcPr>
          <w:p w14:paraId="24A64287" w14:textId="77777777" w:rsidR="0083441B" w:rsidRPr="0083441B" w:rsidRDefault="0083441B" w:rsidP="0083441B">
            <w:pPr>
              <w:rPr>
                <w:rFonts w:ascii="Arial" w:hAnsi="Arial" w:cs="Arial"/>
              </w:rPr>
            </w:pPr>
            <w:r w:rsidRPr="0083441B">
              <w:rPr>
                <w:rFonts w:ascii="Arial" w:hAnsi="Arial" w:cs="Arial"/>
              </w:rPr>
              <w:t xml:space="preserve">H </w:t>
            </w:r>
          </w:p>
        </w:tc>
        <w:tc>
          <w:tcPr>
            <w:tcW w:w="10677" w:type="dxa"/>
            <w:tcBorders>
              <w:top w:val="none" w:sz="6" w:space="0" w:color="auto"/>
              <w:left w:val="none" w:sz="6" w:space="0" w:color="auto"/>
              <w:bottom w:val="none" w:sz="6" w:space="0" w:color="auto"/>
            </w:tcBorders>
          </w:tcPr>
          <w:p w14:paraId="19530BAA" w14:textId="77777777" w:rsidR="0083441B" w:rsidRPr="0083441B" w:rsidRDefault="0083441B" w:rsidP="0083441B">
            <w:pPr>
              <w:rPr>
                <w:rFonts w:ascii="Arial" w:hAnsi="Arial" w:cs="Arial"/>
              </w:rPr>
            </w:pPr>
            <w:r w:rsidRPr="0083441B">
              <w:rPr>
                <w:rFonts w:ascii="Arial" w:hAnsi="Arial" w:cs="Arial"/>
              </w:rPr>
              <w:t xml:space="preserve">A schedule of frequency of inspection, results of findings and action required and taken forms part of the asset register. Defibrillators, defibrillator cabinets and the clerk’s laptop are to be undertaken every 2 months. All other assets are checked at least annually, or more often if deficiencies are highlighted. </w:t>
            </w:r>
          </w:p>
          <w:p w14:paraId="21F32B56" w14:textId="77777777" w:rsidR="0083441B" w:rsidRPr="0083441B" w:rsidRDefault="0083441B" w:rsidP="0083441B">
            <w:pPr>
              <w:rPr>
                <w:rFonts w:ascii="Arial" w:hAnsi="Arial" w:cs="Arial"/>
              </w:rPr>
            </w:pPr>
            <w:r w:rsidRPr="0083441B">
              <w:rPr>
                <w:rFonts w:ascii="Arial" w:hAnsi="Arial" w:cs="Arial"/>
              </w:rPr>
              <w:t xml:space="preserve">Reports are to be submitted to the council by the clerk. </w:t>
            </w:r>
          </w:p>
        </w:tc>
      </w:tr>
      <w:tr w:rsidR="0083441B" w:rsidRPr="0083441B" w14:paraId="16B61841" w14:textId="77777777" w:rsidTr="00831F0B">
        <w:tblPrEx>
          <w:tblCellMar>
            <w:top w:w="0" w:type="dxa"/>
            <w:bottom w:w="0" w:type="dxa"/>
          </w:tblCellMar>
        </w:tblPrEx>
        <w:trPr>
          <w:trHeight w:val="540"/>
        </w:trPr>
        <w:tc>
          <w:tcPr>
            <w:tcW w:w="2376" w:type="dxa"/>
            <w:tcBorders>
              <w:top w:val="none" w:sz="6" w:space="0" w:color="auto"/>
              <w:bottom w:val="none" w:sz="6" w:space="0" w:color="auto"/>
              <w:right w:val="none" w:sz="6" w:space="0" w:color="auto"/>
            </w:tcBorders>
          </w:tcPr>
          <w:p w14:paraId="06E19D4D" w14:textId="77777777" w:rsidR="0083441B" w:rsidRPr="0083441B" w:rsidRDefault="0083441B" w:rsidP="0083441B">
            <w:pPr>
              <w:rPr>
                <w:rFonts w:ascii="Arial" w:hAnsi="Arial" w:cs="Arial"/>
              </w:rPr>
            </w:pPr>
            <w:r w:rsidRPr="0083441B">
              <w:rPr>
                <w:rFonts w:ascii="Arial" w:hAnsi="Arial" w:cs="Arial"/>
              </w:rPr>
              <w:t xml:space="preserve">Unwanted visitors entering building during meetings &amp; disturbance by member of public. </w:t>
            </w:r>
          </w:p>
        </w:tc>
        <w:tc>
          <w:tcPr>
            <w:tcW w:w="1134" w:type="dxa"/>
            <w:tcBorders>
              <w:top w:val="none" w:sz="6" w:space="0" w:color="auto"/>
              <w:left w:val="none" w:sz="6" w:space="0" w:color="auto"/>
              <w:bottom w:val="none" w:sz="6" w:space="0" w:color="auto"/>
              <w:right w:val="none" w:sz="6" w:space="0" w:color="auto"/>
            </w:tcBorders>
          </w:tcPr>
          <w:p w14:paraId="185C3657" w14:textId="77777777" w:rsidR="0083441B" w:rsidRPr="0083441B" w:rsidRDefault="0083441B" w:rsidP="0083441B">
            <w:pPr>
              <w:rPr>
                <w:rFonts w:ascii="Arial" w:hAnsi="Arial" w:cs="Arial"/>
              </w:rPr>
            </w:pPr>
            <w:r w:rsidRPr="0083441B">
              <w:rPr>
                <w:rFonts w:ascii="Arial" w:hAnsi="Arial" w:cs="Arial"/>
              </w:rPr>
              <w:t xml:space="preserve">L </w:t>
            </w:r>
          </w:p>
        </w:tc>
        <w:tc>
          <w:tcPr>
            <w:tcW w:w="993" w:type="dxa"/>
            <w:tcBorders>
              <w:top w:val="none" w:sz="6" w:space="0" w:color="auto"/>
              <w:left w:val="none" w:sz="6" w:space="0" w:color="auto"/>
              <w:bottom w:val="none" w:sz="6" w:space="0" w:color="auto"/>
              <w:right w:val="none" w:sz="6" w:space="0" w:color="auto"/>
            </w:tcBorders>
          </w:tcPr>
          <w:p w14:paraId="249D7742" w14:textId="77777777" w:rsidR="0083441B" w:rsidRPr="0083441B" w:rsidRDefault="0083441B" w:rsidP="0083441B">
            <w:pPr>
              <w:rPr>
                <w:rFonts w:ascii="Arial" w:hAnsi="Arial" w:cs="Arial"/>
              </w:rPr>
            </w:pPr>
            <w:r w:rsidRPr="0083441B">
              <w:rPr>
                <w:rFonts w:ascii="Arial" w:hAnsi="Arial" w:cs="Arial"/>
              </w:rPr>
              <w:t xml:space="preserve">M </w:t>
            </w:r>
          </w:p>
        </w:tc>
        <w:tc>
          <w:tcPr>
            <w:tcW w:w="10677" w:type="dxa"/>
            <w:tcBorders>
              <w:top w:val="none" w:sz="6" w:space="0" w:color="auto"/>
              <w:left w:val="none" w:sz="6" w:space="0" w:color="auto"/>
              <w:bottom w:val="none" w:sz="6" w:space="0" w:color="auto"/>
            </w:tcBorders>
          </w:tcPr>
          <w:p w14:paraId="47F4D5AD" w14:textId="77777777" w:rsidR="0083441B" w:rsidRPr="0083441B" w:rsidRDefault="0083441B" w:rsidP="0083441B">
            <w:pPr>
              <w:rPr>
                <w:rFonts w:ascii="Arial" w:hAnsi="Arial" w:cs="Arial"/>
              </w:rPr>
            </w:pPr>
            <w:r w:rsidRPr="0083441B">
              <w:rPr>
                <w:rFonts w:ascii="Arial" w:hAnsi="Arial" w:cs="Arial"/>
              </w:rPr>
              <w:t xml:space="preserve">Procedures are in place to deal with this are detailed within the Council’s Standing Orders. </w:t>
            </w:r>
          </w:p>
        </w:tc>
      </w:tr>
      <w:tr w:rsidR="0083441B" w:rsidRPr="0083441B" w14:paraId="14261C8D" w14:textId="77777777" w:rsidTr="00831F0B">
        <w:tblPrEx>
          <w:tblCellMar>
            <w:top w:w="0" w:type="dxa"/>
            <w:bottom w:w="0" w:type="dxa"/>
          </w:tblCellMar>
        </w:tblPrEx>
        <w:trPr>
          <w:trHeight w:val="1638"/>
        </w:trPr>
        <w:tc>
          <w:tcPr>
            <w:tcW w:w="2376" w:type="dxa"/>
            <w:tcBorders>
              <w:top w:val="none" w:sz="6" w:space="0" w:color="auto"/>
              <w:bottom w:val="none" w:sz="6" w:space="0" w:color="auto"/>
              <w:right w:val="none" w:sz="6" w:space="0" w:color="auto"/>
            </w:tcBorders>
          </w:tcPr>
          <w:p w14:paraId="62CD3740" w14:textId="77777777" w:rsidR="0083441B" w:rsidRPr="0083441B" w:rsidRDefault="0083441B" w:rsidP="0083441B">
            <w:pPr>
              <w:rPr>
                <w:rFonts w:ascii="Arial" w:hAnsi="Arial" w:cs="Arial"/>
              </w:rPr>
            </w:pPr>
            <w:r w:rsidRPr="0083441B">
              <w:rPr>
                <w:rFonts w:ascii="Arial" w:hAnsi="Arial" w:cs="Arial"/>
              </w:rPr>
              <w:t xml:space="preserve">Safety of officers and councillors at work or when </w:t>
            </w:r>
            <w:proofErr w:type="gramStart"/>
            <w:r w:rsidRPr="0083441B">
              <w:rPr>
                <w:rFonts w:ascii="Arial" w:hAnsi="Arial" w:cs="Arial"/>
              </w:rPr>
              <w:t>lone-working</w:t>
            </w:r>
            <w:proofErr w:type="gramEnd"/>
            <w:r w:rsidRPr="0083441B">
              <w:rPr>
                <w:rFonts w:ascii="Arial" w:hAnsi="Arial" w:cs="Arial"/>
              </w:rPr>
              <w:t xml:space="preserve"> </w:t>
            </w:r>
          </w:p>
        </w:tc>
        <w:tc>
          <w:tcPr>
            <w:tcW w:w="1134" w:type="dxa"/>
            <w:tcBorders>
              <w:top w:val="none" w:sz="6" w:space="0" w:color="auto"/>
              <w:left w:val="none" w:sz="6" w:space="0" w:color="auto"/>
              <w:bottom w:val="none" w:sz="6" w:space="0" w:color="auto"/>
              <w:right w:val="none" w:sz="6" w:space="0" w:color="auto"/>
            </w:tcBorders>
          </w:tcPr>
          <w:p w14:paraId="75CD7095" w14:textId="77777777" w:rsidR="0083441B" w:rsidRPr="0083441B" w:rsidRDefault="0083441B" w:rsidP="0083441B">
            <w:pPr>
              <w:rPr>
                <w:rFonts w:ascii="Arial" w:hAnsi="Arial" w:cs="Arial"/>
              </w:rPr>
            </w:pPr>
            <w:r w:rsidRPr="0083441B">
              <w:rPr>
                <w:rFonts w:ascii="Arial" w:hAnsi="Arial" w:cs="Arial"/>
              </w:rPr>
              <w:t xml:space="preserve">L </w:t>
            </w:r>
          </w:p>
        </w:tc>
        <w:tc>
          <w:tcPr>
            <w:tcW w:w="993" w:type="dxa"/>
            <w:tcBorders>
              <w:top w:val="none" w:sz="6" w:space="0" w:color="auto"/>
              <w:left w:val="none" w:sz="6" w:space="0" w:color="auto"/>
              <w:bottom w:val="none" w:sz="6" w:space="0" w:color="auto"/>
              <w:right w:val="none" w:sz="6" w:space="0" w:color="auto"/>
            </w:tcBorders>
          </w:tcPr>
          <w:p w14:paraId="6564F844" w14:textId="77777777" w:rsidR="0083441B" w:rsidRPr="0083441B" w:rsidRDefault="0083441B" w:rsidP="0083441B">
            <w:pPr>
              <w:rPr>
                <w:rFonts w:ascii="Arial" w:hAnsi="Arial" w:cs="Arial"/>
              </w:rPr>
            </w:pPr>
            <w:r w:rsidRPr="0083441B">
              <w:rPr>
                <w:rFonts w:ascii="Arial" w:hAnsi="Arial" w:cs="Arial"/>
              </w:rPr>
              <w:t xml:space="preserve">M </w:t>
            </w:r>
          </w:p>
        </w:tc>
        <w:tc>
          <w:tcPr>
            <w:tcW w:w="10677" w:type="dxa"/>
            <w:tcBorders>
              <w:top w:val="none" w:sz="6" w:space="0" w:color="auto"/>
              <w:left w:val="none" w:sz="6" w:space="0" w:color="auto"/>
              <w:bottom w:val="none" w:sz="6" w:space="0" w:color="auto"/>
            </w:tcBorders>
          </w:tcPr>
          <w:p w14:paraId="107FDBF6" w14:textId="77422981" w:rsidR="0083441B" w:rsidRPr="0083441B" w:rsidRDefault="0083441B" w:rsidP="0083441B">
            <w:pPr>
              <w:rPr>
                <w:rFonts w:ascii="Arial" w:hAnsi="Arial" w:cs="Arial"/>
              </w:rPr>
            </w:pPr>
            <w:r w:rsidRPr="0083441B">
              <w:rPr>
                <w:rFonts w:ascii="Arial" w:hAnsi="Arial" w:cs="Arial"/>
              </w:rPr>
              <w:t xml:space="preserve">Clerk and councillors to ensure that a third party is aware if they are working alone whilst undertaking council business. The council must provide a safe place of work. Equally, workers must take reasonable care of themselves and others who may be affected by their actions, and comply with the council’s requirements for managing health and safety. Appropriate bespoke risk assessments should be undertaken for any activities undertaken in such circumstances. </w:t>
            </w:r>
          </w:p>
        </w:tc>
      </w:tr>
      <w:tr w:rsidR="0083441B" w:rsidRPr="0083441B" w14:paraId="79B0A780" w14:textId="77777777" w:rsidTr="00831F0B">
        <w:tblPrEx>
          <w:tblCellMar>
            <w:top w:w="0" w:type="dxa"/>
            <w:bottom w:w="0" w:type="dxa"/>
          </w:tblCellMar>
        </w:tblPrEx>
        <w:trPr>
          <w:trHeight w:val="830"/>
        </w:trPr>
        <w:tc>
          <w:tcPr>
            <w:tcW w:w="2376" w:type="dxa"/>
            <w:tcBorders>
              <w:top w:val="none" w:sz="6" w:space="0" w:color="auto"/>
              <w:bottom w:val="none" w:sz="6" w:space="0" w:color="auto"/>
              <w:right w:val="none" w:sz="6" w:space="0" w:color="auto"/>
            </w:tcBorders>
          </w:tcPr>
          <w:p w14:paraId="46E9ADB6" w14:textId="77777777" w:rsidR="0083441B" w:rsidRPr="0083441B" w:rsidRDefault="0083441B" w:rsidP="0083441B">
            <w:pPr>
              <w:rPr>
                <w:rFonts w:ascii="Arial" w:hAnsi="Arial" w:cs="Arial"/>
              </w:rPr>
            </w:pPr>
            <w:r w:rsidRPr="0083441B">
              <w:rPr>
                <w:rFonts w:ascii="Arial" w:hAnsi="Arial" w:cs="Arial"/>
              </w:rPr>
              <w:t xml:space="preserve">Keeping proper financial records in accordance with statutory requirements </w:t>
            </w:r>
          </w:p>
        </w:tc>
        <w:tc>
          <w:tcPr>
            <w:tcW w:w="1134" w:type="dxa"/>
            <w:tcBorders>
              <w:top w:val="none" w:sz="6" w:space="0" w:color="auto"/>
              <w:left w:val="none" w:sz="6" w:space="0" w:color="auto"/>
              <w:bottom w:val="none" w:sz="6" w:space="0" w:color="auto"/>
              <w:right w:val="none" w:sz="6" w:space="0" w:color="auto"/>
            </w:tcBorders>
          </w:tcPr>
          <w:p w14:paraId="0DB9F79C" w14:textId="77777777" w:rsidR="0083441B" w:rsidRPr="0083441B" w:rsidRDefault="0083441B" w:rsidP="0083441B">
            <w:pPr>
              <w:rPr>
                <w:rFonts w:ascii="Arial" w:hAnsi="Arial" w:cs="Arial"/>
              </w:rPr>
            </w:pPr>
            <w:r w:rsidRPr="0083441B">
              <w:rPr>
                <w:rFonts w:ascii="Arial" w:hAnsi="Arial" w:cs="Arial"/>
              </w:rPr>
              <w:t xml:space="preserve">M </w:t>
            </w:r>
          </w:p>
        </w:tc>
        <w:tc>
          <w:tcPr>
            <w:tcW w:w="993" w:type="dxa"/>
            <w:tcBorders>
              <w:top w:val="none" w:sz="6" w:space="0" w:color="auto"/>
              <w:left w:val="none" w:sz="6" w:space="0" w:color="auto"/>
              <w:bottom w:val="none" w:sz="6" w:space="0" w:color="auto"/>
              <w:right w:val="none" w:sz="6" w:space="0" w:color="auto"/>
            </w:tcBorders>
          </w:tcPr>
          <w:p w14:paraId="325CE301" w14:textId="77777777" w:rsidR="0083441B" w:rsidRPr="0083441B" w:rsidRDefault="0083441B" w:rsidP="0083441B">
            <w:pPr>
              <w:rPr>
                <w:rFonts w:ascii="Arial" w:hAnsi="Arial" w:cs="Arial"/>
              </w:rPr>
            </w:pPr>
            <w:r w:rsidRPr="0083441B">
              <w:rPr>
                <w:rFonts w:ascii="Arial" w:hAnsi="Arial" w:cs="Arial"/>
              </w:rPr>
              <w:t xml:space="preserve">H </w:t>
            </w:r>
          </w:p>
        </w:tc>
        <w:tc>
          <w:tcPr>
            <w:tcW w:w="10677" w:type="dxa"/>
            <w:tcBorders>
              <w:top w:val="none" w:sz="6" w:space="0" w:color="auto"/>
              <w:left w:val="none" w:sz="6" w:space="0" w:color="auto"/>
              <w:bottom w:val="none" w:sz="6" w:space="0" w:color="auto"/>
            </w:tcBorders>
          </w:tcPr>
          <w:p w14:paraId="307D7435" w14:textId="01943074" w:rsidR="0083441B" w:rsidRPr="0083441B" w:rsidRDefault="0083441B" w:rsidP="0083441B">
            <w:pPr>
              <w:rPr>
                <w:rFonts w:ascii="Arial" w:hAnsi="Arial" w:cs="Arial"/>
              </w:rPr>
            </w:pPr>
            <w:r w:rsidRPr="0083441B">
              <w:rPr>
                <w:rFonts w:ascii="Arial" w:hAnsi="Arial" w:cs="Arial"/>
              </w:rPr>
              <w:t xml:space="preserve">NALC Model Financial Regulations have been adapted and adopted. They to be reviewed annually. Clerk / RFO holds the Certificate in Local Council Administration (CILCA). </w:t>
            </w:r>
          </w:p>
          <w:p w14:paraId="57DFDCBC" w14:textId="77777777" w:rsidR="0083441B" w:rsidRPr="0083441B" w:rsidRDefault="0083441B" w:rsidP="0083441B">
            <w:pPr>
              <w:rPr>
                <w:rFonts w:ascii="Arial" w:hAnsi="Arial" w:cs="Arial"/>
              </w:rPr>
            </w:pPr>
            <w:r w:rsidRPr="0083441B">
              <w:rPr>
                <w:rFonts w:ascii="Arial" w:hAnsi="Arial" w:cs="Arial"/>
              </w:rPr>
              <w:t xml:space="preserve">Regular scrutiny of financial records through bank reconciliation and internal controls. Appropriate approval (2 councillor authorisers) of pending expenditure. </w:t>
            </w:r>
          </w:p>
          <w:p w14:paraId="4223FD13" w14:textId="77777777" w:rsidR="0083441B" w:rsidRPr="0083441B" w:rsidRDefault="0083441B" w:rsidP="0083441B">
            <w:pPr>
              <w:rPr>
                <w:rFonts w:ascii="Arial" w:hAnsi="Arial" w:cs="Arial"/>
              </w:rPr>
            </w:pPr>
            <w:r w:rsidRPr="0083441B">
              <w:rPr>
                <w:rFonts w:ascii="Arial" w:hAnsi="Arial" w:cs="Arial"/>
              </w:rPr>
              <w:t xml:space="preserve">Annual appointment of an internal auditor who is competent and independent of the council. Records kept in accordance with Accounts and Audit Regulations and JPAG Practitioners Guide. </w:t>
            </w:r>
          </w:p>
        </w:tc>
      </w:tr>
    </w:tbl>
    <w:p w14:paraId="0D83F994" w14:textId="77777777" w:rsidR="00E26A6E" w:rsidRDefault="00E26A6E" w:rsidP="00E27BAD">
      <w:pPr>
        <w:rPr>
          <w:rFonts w:ascii="MS Reference Sans Serif" w:hAnsi="MS Reference Sans Serif"/>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60"/>
        <w:gridCol w:w="850"/>
        <w:gridCol w:w="709"/>
        <w:gridCol w:w="10961"/>
      </w:tblGrid>
      <w:tr w:rsidR="007B4CE3" w:rsidRPr="007B4CE3" w14:paraId="20738109" w14:textId="77777777" w:rsidTr="00831F0B">
        <w:tblPrEx>
          <w:tblCellMar>
            <w:top w:w="0" w:type="dxa"/>
            <w:bottom w:w="0" w:type="dxa"/>
          </w:tblCellMar>
        </w:tblPrEx>
        <w:trPr>
          <w:trHeight w:val="539"/>
        </w:trPr>
        <w:tc>
          <w:tcPr>
            <w:tcW w:w="2660" w:type="dxa"/>
            <w:tcBorders>
              <w:top w:val="none" w:sz="6" w:space="0" w:color="auto"/>
              <w:bottom w:val="none" w:sz="6" w:space="0" w:color="auto"/>
              <w:right w:val="none" w:sz="6" w:space="0" w:color="auto"/>
            </w:tcBorders>
          </w:tcPr>
          <w:p w14:paraId="59F57A6D" w14:textId="77777777" w:rsidR="007B4CE3" w:rsidRPr="007B4CE3" w:rsidRDefault="007B4CE3" w:rsidP="007B4CE3">
            <w:pPr>
              <w:rPr>
                <w:rFonts w:ascii="Arial" w:hAnsi="Arial" w:cs="Arial"/>
              </w:rPr>
            </w:pPr>
            <w:r w:rsidRPr="007B4CE3">
              <w:rPr>
                <w:rFonts w:ascii="Arial" w:hAnsi="Arial" w:cs="Arial"/>
              </w:rPr>
              <w:lastRenderedPageBreak/>
              <w:t xml:space="preserve">Security of banking arrangements </w:t>
            </w:r>
          </w:p>
        </w:tc>
        <w:tc>
          <w:tcPr>
            <w:tcW w:w="850" w:type="dxa"/>
            <w:tcBorders>
              <w:top w:val="none" w:sz="6" w:space="0" w:color="auto"/>
              <w:left w:val="none" w:sz="6" w:space="0" w:color="auto"/>
              <w:bottom w:val="none" w:sz="6" w:space="0" w:color="auto"/>
              <w:right w:val="none" w:sz="6" w:space="0" w:color="auto"/>
            </w:tcBorders>
          </w:tcPr>
          <w:p w14:paraId="39667F90" w14:textId="77777777" w:rsidR="007B4CE3" w:rsidRPr="007B4CE3" w:rsidRDefault="007B4CE3" w:rsidP="007B4CE3">
            <w:pPr>
              <w:rPr>
                <w:rFonts w:ascii="Arial" w:hAnsi="Arial" w:cs="Arial"/>
              </w:rPr>
            </w:pPr>
            <w:r w:rsidRPr="007B4CE3">
              <w:rPr>
                <w:rFonts w:ascii="Arial" w:hAnsi="Arial" w:cs="Arial"/>
              </w:rPr>
              <w:t xml:space="preserve">M </w:t>
            </w:r>
          </w:p>
        </w:tc>
        <w:tc>
          <w:tcPr>
            <w:tcW w:w="709" w:type="dxa"/>
            <w:tcBorders>
              <w:top w:val="none" w:sz="6" w:space="0" w:color="auto"/>
              <w:left w:val="none" w:sz="6" w:space="0" w:color="auto"/>
              <w:bottom w:val="none" w:sz="6" w:space="0" w:color="auto"/>
              <w:right w:val="none" w:sz="6" w:space="0" w:color="auto"/>
            </w:tcBorders>
          </w:tcPr>
          <w:p w14:paraId="2C389A98" w14:textId="77777777" w:rsidR="007B4CE3" w:rsidRPr="007B4CE3" w:rsidRDefault="007B4CE3" w:rsidP="007B4CE3">
            <w:pPr>
              <w:rPr>
                <w:rFonts w:ascii="Arial" w:hAnsi="Arial" w:cs="Arial"/>
              </w:rPr>
            </w:pPr>
            <w:r w:rsidRPr="007B4CE3">
              <w:rPr>
                <w:rFonts w:ascii="Arial" w:hAnsi="Arial" w:cs="Arial"/>
              </w:rPr>
              <w:t xml:space="preserve">M </w:t>
            </w:r>
          </w:p>
        </w:tc>
        <w:tc>
          <w:tcPr>
            <w:tcW w:w="10961" w:type="dxa"/>
            <w:tcBorders>
              <w:top w:val="none" w:sz="6" w:space="0" w:color="auto"/>
              <w:left w:val="none" w:sz="6" w:space="0" w:color="auto"/>
              <w:bottom w:val="none" w:sz="6" w:space="0" w:color="auto"/>
            </w:tcBorders>
          </w:tcPr>
          <w:p w14:paraId="128F868C" w14:textId="77777777" w:rsidR="007B4CE3" w:rsidRPr="007B4CE3" w:rsidRDefault="007B4CE3" w:rsidP="007B4CE3">
            <w:pPr>
              <w:rPr>
                <w:rFonts w:ascii="Arial" w:hAnsi="Arial" w:cs="Arial"/>
              </w:rPr>
            </w:pPr>
            <w:r w:rsidRPr="007B4CE3">
              <w:rPr>
                <w:rFonts w:ascii="Arial" w:hAnsi="Arial" w:cs="Arial"/>
              </w:rPr>
              <w:t xml:space="preserve">Regular bank reconciliations with an associated internal controls checklist. These are undertaken by the clerk and a councillor who is not primarily involved in the payment approval process. </w:t>
            </w:r>
          </w:p>
          <w:p w14:paraId="27296DB8" w14:textId="77777777" w:rsidR="007B4CE3" w:rsidRPr="007B4CE3" w:rsidRDefault="007B4CE3" w:rsidP="007B4CE3">
            <w:pPr>
              <w:rPr>
                <w:rFonts w:ascii="Arial" w:hAnsi="Arial" w:cs="Arial"/>
              </w:rPr>
            </w:pPr>
            <w:r w:rsidRPr="007B4CE3">
              <w:rPr>
                <w:rFonts w:ascii="Arial" w:hAnsi="Arial" w:cs="Arial"/>
              </w:rPr>
              <w:t xml:space="preserve">Annual independent internal audit by an individual who is competent and independent of the council. </w:t>
            </w:r>
          </w:p>
          <w:p w14:paraId="7B6302E8" w14:textId="77777777" w:rsidR="007B4CE3" w:rsidRPr="007B4CE3" w:rsidRDefault="007B4CE3" w:rsidP="007B4CE3">
            <w:pPr>
              <w:rPr>
                <w:rFonts w:ascii="Arial" w:hAnsi="Arial" w:cs="Arial"/>
              </w:rPr>
            </w:pPr>
            <w:r w:rsidRPr="007B4CE3">
              <w:rPr>
                <w:rFonts w:ascii="Arial" w:hAnsi="Arial" w:cs="Arial"/>
              </w:rPr>
              <w:t xml:space="preserve">All payments to be made in accordance with Financial Regulations </w:t>
            </w:r>
          </w:p>
        </w:tc>
      </w:tr>
      <w:tr w:rsidR="007B4CE3" w:rsidRPr="007B4CE3" w14:paraId="349B891E" w14:textId="77777777" w:rsidTr="00831F0B">
        <w:tblPrEx>
          <w:tblCellMar>
            <w:top w:w="0" w:type="dxa"/>
            <w:bottom w:w="0" w:type="dxa"/>
          </w:tblCellMar>
        </w:tblPrEx>
        <w:trPr>
          <w:trHeight w:val="393"/>
        </w:trPr>
        <w:tc>
          <w:tcPr>
            <w:tcW w:w="2660" w:type="dxa"/>
            <w:tcBorders>
              <w:top w:val="none" w:sz="6" w:space="0" w:color="auto"/>
              <w:bottom w:val="none" w:sz="6" w:space="0" w:color="auto"/>
              <w:right w:val="none" w:sz="6" w:space="0" w:color="auto"/>
            </w:tcBorders>
          </w:tcPr>
          <w:p w14:paraId="0A29E866" w14:textId="77777777" w:rsidR="007B4CE3" w:rsidRPr="007B4CE3" w:rsidRDefault="007B4CE3" w:rsidP="007B4CE3">
            <w:pPr>
              <w:rPr>
                <w:rFonts w:ascii="Arial" w:hAnsi="Arial" w:cs="Arial"/>
              </w:rPr>
            </w:pPr>
            <w:r w:rsidRPr="007B4CE3">
              <w:rPr>
                <w:rFonts w:ascii="Arial" w:hAnsi="Arial" w:cs="Arial"/>
              </w:rPr>
              <w:t xml:space="preserve">Failure of IT hardware and software systems </w:t>
            </w:r>
          </w:p>
        </w:tc>
        <w:tc>
          <w:tcPr>
            <w:tcW w:w="850" w:type="dxa"/>
            <w:tcBorders>
              <w:top w:val="none" w:sz="6" w:space="0" w:color="auto"/>
              <w:left w:val="none" w:sz="6" w:space="0" w:color="auto"/>
              <w:bottom w:val="none" w:sz="6" w:space="0" w:color="auto"/>
              <w:right w:val="none" w:sz="6" w:space="0" w:color="auto"/>
            </w:tcBorders>
          </w:tcPr>
          <w:p w14:paraId="04C55864" w14:textId="77777777" w:rsidR="007B4CE3" w:rsidRPr="007B4CE3" w:rsidRDefault="007B4CE3" w:rsidP="007B4CE3">
            <w:pPr>
              <w:rPr>
                <w:rFonts w:ascii="Arial" w:hAnsi="Arial" w:cs="Arial"/>
              </w:rPr>
            </w:pPr>
            <w:r w:rsidRPr="007B4CE3">
              <w:rPr>
                <w:rFonts w:ascii="Arial" w:hAnsi="Arial" w:cs="Arial"/>
              </w:rPr>
              <w:t xml:space="preserve">M </w:t>
            </w:r>
          </w:p>
        </w:tc>
        <w:tc>
          <w:tcPr>
            <w:tcW w:w="709" w:type="dxa"/>
            <w:tcBorders>
              <w:top w:val="none" w:sz="6" w:space="0" w:color="auto"/>
              <w:left w:val="none" w:sz="6" w:space="0" w:color="auto"/>
              <w:bottom w:val="none" w:sz="6" w:space="0" w:color="auto"/>
              <w:right w:val="none" w:sz="6" w:space="0" w:color="auto"/>
            </w:tcBorders>
          </w:tcPr>
          <w:p w14:paraId="21DCA4CF" w14:textId="77777777" w:rsidR="007B4CE3" w:rsidRPr="007B4CE3" w:rsidRDefault="007B4CE3" w:rsidP="007B4CE3">
            <w:pPr>
              <w:rPr>
                <w:rFonts w:ascii="Arial" w:hAnsi="Arial" w:cs="Arial"/>
              </w:rPr>
            </w:pPr>
            <w:r w:rsidRPr="007B4CE3">
              <w:rPr>
                <w:rFonts w:ascii="Arial" w:hAnsi="Arial" w:cs="Arial"/>
              </w:rPr>
              <w:t xml:space="preserve">M </w:t>
            </w:r>
          </w:p>
        </w:tc>
        <w:tc>
          <w:tcPr>
            <w:tcW w:w="10961" w:type="dxa"/>
            <w:tcBorders>
              <w:top w:val="none" w:sz="6" w:space="0" w:color="auto"/>
              <w:left w:val="none" w:sz="6" w:space="0" w:color="auto"/>
              <w:bottom w:val="none" w:sz="6" w:space="0" w:color="auto"/>
            </w:tcBorders>
          </w:tcPr>
          <w:p w14:paraId="28AB60AF" w14:textId="77777777" w:rsidR="007B4CE3" w:rsidRPr="007B4CE3" w:rsidRDefault="007B4CE3" w:rsidP="007B4CE3">
            <w:pPr>
              <w:rPr>
                <w:rFonts w:ascii="Arial" w:hAnsi="Arial" w:cs="Arial"/>
              </w:rPr>
            </w:pPr>
            <w:r w:rsidRPr="007B4CE3">
              <w:rPr>
                <w:rFonts w:ascii="Arial" w:hAnsi="Arial" w:cs="Arial"/>
              </w:rPr>
              <w:t xml:space="preserve">Virus protection with regular updates. Password protected computer. </w:t>
            </w:r>
          </w:p>
          <w:p w14:paraId="51A8D7FD" w14:textId="77777777" w:rsidR="007B4CE3" w:rsidRPr="007B4CE3" w:rsidRDefault="007B4CE3" w:rsidP="007B4CE3">
            <w:pPr>
              <w:rPr>
                <w:rFonts w:ascii="Arial" w:hAnsi="Arial" w:cs="Arial"/>
              </w:rPr>
            </w:pPr>
            <w:r w:rsidRPr="007B4CE3">
              <w:rPr>
                <w:rFonts w:ascii="Arial" w:hAnsi="Arial" w:cs="Arial"/>
              </w:rPr>
              <w:t xml:space="preserve">Regular data back-up to password protected USB drive which is held in a separate location. </w:t>
            </w:r>
          </w:p>
          <w:p w14:paraId="5572EA83" w14:textId="77777777" w:rsidR="007B4CE3" w:rsidRPr="007B4CE3" w:rsidRDefault="007B4CE3" w:rsidP="007B4CE3">
            <w:pPr>
              <w:rPr>
                <w:rFonts w:ascii="Arial" w:hAnsi="Arial" w:cs="Arial"/>
              </w:rPr>
            </w:pPr>
            <w:r w:rsidRPr="007B4CE3">
              <w:rPr>
                <w:rFonts w:ascii="Arial" w:hAnsi="Arial" w:cs="Arial"/>
              </w:rPr>
              <w:t xml:space="preserve">Chairman holds passwords in a sealed envelope for use in the case of the clerk becoming incapacitated </w:t>
            </w:r>
          </w:p>
        </w:tc>
      </w:tr>
      <w:tr w:rsidR="007B4CE3" w:rsidRPr="007B4CE3" w14:paraId="0E80A140" w14:textId="77777777" w:rsidTr="00831F0B">
        <w:tblPrEx>
          <w:tblCellMar>
            <w:top w:w="0" w:type="dxa"/>
            <w:bottom w:w="0" w:type="dxa"/>
          </w:tblCellMar>
        </w:tblPrEx>
        <w:trPr>
          <w:trHeight w:val="394"/>
        </w:trPr>
        <w:tc>
          <w:tcPr>
            <w:tcW w:w="2660" w:type="dxa"/>
            <w:tcBorders>
              <w:top w:val="none" w:sz="6" w:space="0" w:color="auto"/>
              <w:bottom w:val="none" w:sz="6" w:space="0" w:color="auto"/>
              <w:right w:val="none" w:sz="6" w:space="0" w:color="auto"/>
            </w:tcBorders>
          </w:tcPr>
          <w:p w14:paraId="4DE82275" w14:textId="77777777" w:rsidR="007B4CE3" w:rsidRPr="007B4CE3" w:rsidRDefault="007B4CE3" w:rsidP="007B4CE3">
            <w:pPr>
              <w:rPr>
                <w:rFonts w:ascii="Arial" w:hAnsi="Arial" w:cs="Arial"/>
              </w:rPr>
            </w:pPr>
            <w:r w:rsidRPr="007B4CE3">
              <w:rPr>
                <w:rFonts w:ascii="Arial" w:hAnsi="Arial" w:cs="Arial"/>
              </w:rPr>
              <w:t xml:space="preserve">Loss of income for the need to provide essential services </w:t>
            </w:r>
          </w:p>
        </w:tc>
        <w:tc>
          <w:tcPr>
            <w:tcW w:w="850" w:type="dxa"/>
            <w:tcBorders>
              <w:top w:val="none" w:sz="6" w:space="0" w:color="auto"/>
              <w:left w:val="none" w:sz="6" w:space="0" w:color="auto"/>
              <w:bottom w:val="none" w:sz="6" w:space="0" w:color="auto"/>
              <w:right w:val="none" w:sz="6" w:space="0" w:color="auto"/>
            </w:tcBorders>
          </w:tcPr>
          <w:p w14:paraId="5D7EC52F" w14:textId="77777777" w:rsidR="007B4CE3" w:rsidRPr="007B4CE3" w:rsidRDefault="007B4CE3" w:rsidP="007B4CE3">
            <w:pPr>
              <w:rPr>
                <w:rFonts w:ascii="Arial" w:hAnsi="Arial" w:cs="Arial"/>
              </w:rPr>
            </w:pPr>
            <w:r w:rsidRPr="007B4CE3">
              <w:rPr>
                <w:rFonts w:ascii="Arial" w:hAnsi="Arial" w:cs="Arial"/>
              </w:rPr>
              <w:t xml:space="preserve">L </w:t>
            </w:r>
          </w:p>
        </w:tc>
        <w:tc>
          <w:tcPr>
            <w:tcW w:w="709" w:type="dxa"/>
            <w:tcBorders>
              <w:top w:val="none" w:sz="6" w:space="0" w:color="auto"/>
              <w:left w:val="none" w:sz="6" w:space="0" w:color="auto"/>
              <w:bottom w:val="none" w:sz="6" w:space="0" w:color="auto"/>
              <w:right w:val="none" w:sz="6" w:space="0" w:color="auto"/>
            </w:tcBorders>
          </w:tcPr>
          <w:p w14:paraId="635F7E61" w14:textId="77777777" w:rsidR="007B4CE3" w:rsidRPr="007B4CE3" w:rsidRDefault="007B4CE3" w:rsidP="007B4CE3">
            <w:pPr>
              <w:rPr>
                <w:rFonts w:ascii="Arial" w:hAnsi="Arial" w:cs="Arial"/>
              </w:rPr>
            </w:pPr>
            <w:r w:rsidRPr="007B4CE3">
              <w:rPr>
                <w:rFonts w:ascii="Arial" w:hAnsi="Arial" w:cs="Arial"/>
              </w:rPr>
              <w:t xml:space="preserve">M </w:t>
            </w:r>
          </w:p>
        </w:tc>
        <w:tc>
          <w:tcPr>
            <w:tcW w:w="10961" w:type="dxa"/>
            <w:tcBorders>
              <w:top w:val="none" w:sz="6" w:space="0" w:color="auto"/>
              <w:left w:val="none" w:sz="6" w:space="0" w:color="auto"/>
              <w:bottom w:val="none" w:sz="6" w:space="0" w:color="auto"/>
            </w:tcBorders>
          </w:tcPr>
          <w:p w14:paraId="61803510" w14:textId="77777777" w:rsidR="007B4CE3" w:rsidRPr="007B4CE3" w:rsidRDefault="007B4CE3" w:rsidP="007B4CE3">
            <w:pPr>
              <w:rPr>
                <w:rFonts w:ascii="Arial" w:hAnsi="Arial" w:cs="Arial"/>
              </w:rPr>
            </w:pPr>
            <w:r w:rsidRPr="007B4CE3">
              <w:rPr>
                <w:rFonts w:ascii="Arial" w:hAnsi="Arial" w:cs="Arial"/>
              </w:rPr>
              <w:t xml:space="preserve">Appropriate, annually reviewed and agreed levels of general and earmarked reserves. The precept is reviewed annually alongside an approved budget. The council has no forms of income other than the precept. </w:t>
            </w:r>
          </w:p>
        </w:tc>
      </w:tr>
      <w:tr w:rsidR="007B4CE3" w:rsidRPr="007B4CE3" w14:paraId="07136411" w14:textId="77777777" w:rsidTr="00831F0B">
        <w:tblPrEx>
          <w:tblCellMar>
            <w:top w:w="0" w:type="dxa"/>
            <w:bottom w:w="0" w:type="dxa"/>
          </w:tblCellMar>
        </w:tblPrEx>
        <w:trPr>
          <w:trHeight w:val="395"/>
        </w:trPr>
        <w:tc>
          <w:tcPr>
            <w:tcW w:w="2660" w:type="dxa"/>
            <w:tcBorders>
              <w:top w:val="none" w:sz="6" w:space="0" w:color="auto"/>
              <w:bottom w:val="none" w:sz="6" w:space="0" w:color="auto"/>
              <w:right w:val="none" w:sz="6" w:space="0" w:color="auto"/>
            </w:tcBorders>
          </w:tcPr>
          <w:p w14:paraId="77B6C014" w14:textId="77777777" w:rsidR="007B4CE3" w:rsidRPr="007B4CE3" w:rsidRDefault="007B4CE3" w:rsidP="007B4CE3">
            <w:pPr>
              <w:rPr>
                <w:rFonts w:ascii="Arial" w:hAnsi="Arial" w:cs="Arial"/>
              </w:rPr>
            </w:pPr>
            <w:r w:rsidRPr="007B4CE3">
              <w:rPr>
                <w:rFonts w:ascii="Arial" w:hAnsi="Arial" w:cs="Arial"/>
              </w:rPr>
              <w:t xml:space="preserve">Ensuring adequacy of annual precept </w:t>
            </w:r>
          </w:p>
        </w:tc>
        <w:tc>
          <w:tcPr>
            <w:tcW w:w="850" w:type="dxa"/>
            <w:tcBorders>
              <w:top w:val="none" w:sz="6" w:space="0" w:color="auto"/>
              <w:left w:val="none" w:sz="6" w:space="0" w:color="auto"/>
              <w:bottom w:val="none" w:sz="6" w:space="0" w:color="auto"/>
              <w:right w:val="none" w:sz="6" w:space="0" w:color="auto"/>
            </w:tcBorders>
          </w:tcPr>
          <w:p w14:paraId="38F3C96F" w14:textId="77777777" w:rsidR="007B4CE3" w:rsidRPr="007B4CE3" w:rsidRDefault="007B4CE3" w:rsidP="007B4CE3">
            <w:pPr>
              <w:rPr>
                <w:rFonts w:ascii="Arial" w:hAnsi="Arial" w:cs="Arial"/>
              </w:rPr>
            </w:pPr>
            <w:r w:rsidRPr="007B4CE3">
              <w:rPr>
                <w:rFonts w:ascii="Arial" w:hAnsi="Arial" w:cs="Arial"/>
              </w:rPr>
              <w:t xml:space="preserve">L </w:t>
            </w:r>
          </w:p>
        </w:tc>
        <w:tc>
          <w:tcPr>
            <w:tcW w:w="709" w:type="dxa"/>
            <w:tcBorders>
              <w:top w:val="none" w:sz="6" w:space="0" w:color="auto"/>
              <w:left w:val="none" w:sz="6" w:space="0" w:color="auto"/>
              <w:bottom w:val="none" w:sz="6" w:space="0" w:color="auto"/>
              <w:right w:val="none" w:sz="6" w:space="0" w:color="auto"/>
            </w:tcBorders>
          </w:tcPr>
          <w:p w14:paraId="7B837F10" w14:textId="77777777" w:rsidR="007B4CE3" w:rsidRPr="007B4CE3" w:rsidRDefault="007B4CE3" w:rsidP="007B4CE3">
            <w:pPr>
              <w:rPr>
                <w:rFonts w:ascii="Arial" w:hAnsi="Arial" w:cs="Arial"/>
              </w:rPr>
            </w:pPr>
            <w:r w:rsidRPr="007B4CE3">
              <w:rPr>
                <w:rFonts w:ascii="Arial" w:hAnsi="Arial" w:cs="Arial"/>
              </w:rPr>
              <w:t xml:space="preserve">M </w:t>
            </w:r>
          </w:p>
        </w:tc>
        <w:tc>
          <w:tcPr>
            <w:tcW w:w="10961" w:type="dxa"/>
            <w:tcBorders>
              <w:top w:val="none" w:sz="6" w:space="0" w:color="auto"/>
              <w:left w:val="none" w:sz="6" w:space="0" w:color="auto"/>
              <w:bottom w:val="none" w:sz="6" w:space="0" w:color="auto"/>
            </w:tcBorders>
          </w:tcPr>
          <w:p w14:paraId="7EAE7D8C" w14:textId="77777777" w:rsidR="007B4CE3" w:rsidRPr="007B4CE3" w:rsidRDefault="007B4CE3" w:rsidP="007B4CE3">
            <w:pPr>
              <w:rPr>
                <w:rFonts w:ascii="Arial" w:hAnsi="Arial" w:cs="Arial"/>
              </w:rPr>
            </w:pPr>
            <w:r w:rsidRPr="007B4CE3">
              <w:rPr>
                <w:rFonts w:ascii="Arial" w:hAnsi="Arial" w:cs="Arial"/>
              </w:rPr>
              <w:t xml:space="preserve">Approval of budget by full Council. Regular budget monitoring and review of general and earmarked reserves. Ensure the precept requirement is submitted to Cotswold District Council by 31st January each year. </w:t>
            </w:r>
          </w:p>
        </w:tc>
      </w:tr>
      <w:tr w:rsidR="007B4CE3" w:rsidRPr="007B4CE3" w14:paraId="414C2F30" w14:textId="77777777" w:rsidTr="00831F0B">
        <w:tblPrEx>
          <w:tblCellMar>
            <w:top w:w="0" w:type="dxa"/>
            <w:bottom w:w="0" w:type="dxa"/>
          </w:tblCellMar>
        </w:tblPrEx>
        <w:trPr>
          <w:trHeight w:val="540"/>
        </w:trPr>
        <w:tc>
          <w:tcPr>
            <w:tcW w:w="2660" w:type="dxa"/>
            <w:tcBorders>
              <w:top w:val="none" w:sz="6" w:space="0" w:color="auto"/>
              <w:bottom w:val="none" w:sz="6" w:space="0" w:color="auto"/>
              <w:right w:val="none" w:sz="6" w:space="0" w:color="auto"/>
            </w:tcBorders>
          </w:tcPr>
          <w:p w14:paraId="0DF28B90" w14:textId="714753DB" w:rsidR="007B4CE3" w:rsidRPr="007B4CE3" w:rsidRDefault="007B4CE3" w:rsidP="007B4CE3">
            <w:pPr>
              <w:rPr>
                <w:rFonts w:ascii="Arial" w:hAnsi="Arial" w:cs="Arial"/>
              </w:rPr>
            </w:pPr>
            <w:r w:rsidRPr="007B4CE3">
              <w:rPr>
                <w:rFonts w:ascii="Arial" w:hAnsi="Arial" w:cs="Arial"/>
              </w:rPr>
              <w:t xml:space="preserve">Ensuring all business activities are within legal powers applicable to local council </w:t>
            </w:r>
          </w:p>
        </w:tc>
        <w:tc>
          <w:tcPr>
            <w:tcW w:w="850" w:type="dxa"/>
            <w:tcBorders>
              <w:top w:val="none" w:sz="6" w:space="0" w:color="auto"/>
              <w:left w:val="none" w:sz="6" w:space="0" w:color="auto"/>
              <w:bottom w:val="none" w:sz="6" w:space="0" w:color="auto"/>
              <w:right w:val="none" w:sz="6" w:space="0" w:color="auto"/>
            </w:tcBorders>
          </w:tcPr>
          <w:p w14:paraId="22589136" w14:textId="77777777" w:rsidR="007B4CE3" w:rsidRPr="006E23F0" w:rsidRDefault="007B4CE3" w:rsidP="007B4CE3">
            <w:pPr>
              <w:rPr>
                <w:rFonts w:ascii="Arial" w:hAnsi="Arial" w:cs="Arial"/>
              </w:rPr>
            </w:pPr>
          </w:p>
          <w:p w14:paraId="2CE0CD4F" w14:textId="4F163769" w:rsidR="007B4CE3" w:rsidRPr="007B4CE3" w:rsidRDefault="007B4CE3" w:rsidP="007B4CE3">
            <w:pPr>
              <w:rPr>
                <w:rFonts w:ascii="Arial" w:hAnsi="Arial" w:cs="Arial"/>
              </w:rPr>
            </w:pPr>
            <w:r w:rsidRPr="007B4CE3">
              <w:rPr>
                <w:rFonts w:ascii="Arial" w:hAnsi="Arial" w:cs="Arial"/>
              </w:rPr>
              <w:t xml:space="preserve">L </w:t>
            </w:r>
          </w:p>
        </w:tc>
        <w:tc>
          <w:tcPr>
            <w:tcW w:w="709" w:type="dxa"/>
            <w:tcBorders>
              <w:top w:val="none" w:sz="6" w:space="0" w:color="auto"/>
              <w:left w:val="none" w:sz="6" w:space="0" w:color="auto"/>
              <w:bottom w:val="none" w:sz="6" w:space="0" w:color="auto"/>
              <w:right w:val="none" w:sz="6" w:space="0" w:color="auto"/>
            </w:tcBorders>
          </w:tcPr>
          <w:p w14:paraId="133FAC69" w14:textId="77777777" w:rsidR="007B4CE3" w:rsidRPr="006E23F0" w:rsidRDefault="007B4CE3" w:rsidP="007B4CE3">
            <w:pPr>
              <w:rPr>
                <w:rFonts w:ascii="Arial" w:hAnsi="Arial" w:cs="Arial"/>
              </w:rPr>
            </w:pPr>
          </w:p>
          <w:p w14:paraId="473119CE" w14:textId="3AC784D5" w:rsidR="007B4CE3" w:rsidRPr="007B4CE3" w:rsidRDefault="007B4CE3" w:rsidP="007B4CE3">
            <w:pPr>
              <w:rPr>
                <w:rFonts w:ascii="Arial" w:hAnsi="Arial" w:cs="Arial"/>
              </w:rPr>
            </w:pPr>
            <w:r w:rsidRPr="007B4CE3">
              <w:rPr>
                <w:rFonts w:ascii="Arial" w:hAnsi="Arial" w:cs="Arial"/>
              </w:rPr>
              <w:t xml:space="preserve">M </w:t>
            </w:r>
          </w:p>
        </w:tc>
        <w:tc>
          <w:tcPr>
            <w:tcW w:w="10961" w:type="dxa"/>
            <w:tcBorders>
              <w:top w:val="none" w:sz="6" w:space="0" w:color="auto"/>
              <w:left w:val="none" w:sz="6" w:space="0" w:color="auto"/>
              <w:bottom w:val="none" w:sz="6" w:space="0" w:color="auto"/>
            </w:tcBorders>
          </w:tcPr>
          <w:p w14:paraId="1E5A968B" w14:textId="77777777" w:rsidR="007B4CE3" w:rsidRPr="006E23F0" w:rsidRDefault="007B4CE3" w:rsidP="007B4CE3">
            <w:pPr>
              <w:rPr>
                <w:rFonts w:ascii="Arial" w:hAnsi="Arial" w:cs="Arial"/>
              </w:rPr>
            </w:pPr>
          </w:p>
          <w:p w14:paraId="41B7BFF7" w14:textId="0CC5E122" w:rsidR="007B4CE3" w:rsidRPr="007B4CE3" w:rsidRDefault="007B4CE3" w:rsidP="007B4CE3">
            <w:pPr>
              <w:rPr>
                <w:rFonts w:ascii="Arial" w:hAnsi="Arial" w:cs="Arial"/>
              </w:rPr>
            </w:pPr>
            <w:r w:rsidRPr="007B4CE3">
              <w:rPr>
                <w:rFonts w:ascii="Arial" w:hAnsi="Arial" w:cs="Arial"/>
              </w:rPr>
              <w:t xml:space="preserve">Clerk / RFO reviews all business activities for legal compliance </w:t>
            </w:r>
            <w:proofErr w:type="gramStart"/>
            <w:r w:rsidRPr="007B4CE3">
              <w:rPr>
                <w:rFonts w:ascii="Arial" w:hAnsi="Arial" w:cs="Arial"/>
              </w:rPr>
              <w:t>and also</w:t>
            </w:r>
            <w:proofErr w:type="gramEnd"/>
            <w:r w:rsidRPr="007B4CE3">
              <w:rPr>
                <w:rFonts w:ascii="Arial" w:hAnsi="Arial" w:cs="Arial"/>
              </w:rPr>
              <w:t xml:space="preserve"> ensures there is a ‘power to spend’ for all council purchase activities. </w:t>
            </w:r>
          </w:p>
        </w:tc>
      </w:tr>
      <w:tr w:rsidR="007B4CE3" w:rsidRPr="007B4CE3" w14:paraId="28EE51E0" w14:textId="77777777" w:rsidTr="00831F0B">
        <w:tblPrEx>
          <w:tblCellMar>
            <w:top w:w="0" w:type="dxa"/>
            <w:bottom w:w="0" w:type="dxa"/>
          </w:tblCellMar>
        </w:tblPrEx>
        <w:trPr>
          <w:trHeight w:val="248"/>
        </w:trPr>
        <w:tc>
          <w:tcPr>
            <w:tcW w:w="2660" w:type="dxa"/>
            <w:tcBorders>
              <w:top w:val="none" w:sz="6" w:space="0" w:color="auto"/>
              <w:bottom w:val="none" w:sz="6" w:space="0" w:color="auto"/>
              <w:right w:val="none" w:sz="6" w:space="0" w:color="auto"/>
            </w:tcBorders>
          </w:tcPr>
          <w:p w14:paraId="22BB10B7" w14:textId="77777777" w:rsidR="007B4CE3" w:rsidRPr="007B4CE3" w:rsidRDefault="007B4CE3" w:rsidP="007B4CE3">
            <w:pPr>
              <w:rPr>
                <w:rFonts w:ascii="Arial" w:hAnsi="Arial" w:cs="Arial"/>
              </w:rPr>
            </w:pPr>
            <w:r w:rsidRPr="007B4CE3">
              <w:rPr>
                <w:rFonts w:ascii="Arial" w:hAnsi="Arial" w:cs="Arial"/>
              </w:rPr>
              <w:t xml:space="preserve">Complying with restrictions on borrowing </w:t>
            </w:r>
          </w:p>
        </w:tc>
        <w:tc>
          <w:tcPr>
            <w:tcW w:w="850" w:type="dxa"/>
            <w:tcBorders>
              <w:top w:val="none" w:sz="6" w:space="0" w:color="auto"/>
              <w:left w:val="none" w:sz="6" w:space="0" w:color="auto"/>
              <w:bottom w:val="none" w:sz="6" w:space="0" w:color="auto"/>
              <w:right w:val="none" w:sz="6" w:space="0" w:color="auto"/>
            </w:tcBorders>
          </w:tcPr>
          <w:p w14:paraId="7D7D12DF" w14:textId="77777777" w:rsidR="007B4CE3" w:rsidRPr="007B4CE3" w:rsidRDefault="007B4CE3" w:rsidP="007B4CE3">
            <w:pPr>
              <w:rPr>
                <w:rFonts w:ascii="Arial" w:hAnsi="Arial" w:cs="Arial"/>
              </w:rPr>
            </w:pPr>
            <w:r w:rsidRPr="007B4CE3">
              <w:rPr>
                <w:rFonts w:ascii="Arial" w:hAnsi="Arial" w:cs="Arial"/>
              </w:rPr>
              <w:t xml:space="preserve">L </w:t>
            </w:r>
          </w:p>
        </w:tc>
        <w:tc>
          <w:tcPr>
            <w:tcW w:w="709" w:type="dxa"/>
            <w:tcBorders>
              <w:top w:val="none" w:sz="6" w:space="0" w:color="auto"/>
              <w:left w:val="none" w:sz="6" w:space="0" w:color="auto"/>
              <w:bottom w:val="none" w:sz="6" w:space="0" w:color="auto"/>
              <w:right w:val="none" w:sz="6" w:space="0" w:color="auto"/>
            </w:tcBorders>
          </w:tcPr>
          <w:p w14:paraId="4249DF69" w14:textId="77777777" w:rsidR="007B4CE3" w:rsidRPr="007B4CE3" w:rsidRDefault="007B4CE3" w:rsidP="007B4CE3">
            <w:pPr>
              <w:rPr>
                <w:rFonts w:ascii="Arial" w:hAnsi="Arial" w:cs="Arial"/>
              </w:rPr>
            </w:pPr>
            <w:r w:rsidRPr="007B4CE3">
              <w:rPr>
                <w:rFonts w:ascii="Arial" w:hAnsi="Arial" w:cs="Arial"/>
              </w:rPr>
              <w:t xml:space="preserve">L </w:t>
            </w:r>
          </w:p>
        </w:tc>
        <w:tc>
          <w:tcPr>
            <w:tcW w:w="10961" w:type="dxa"/>
            <w:tcBorders>
              <w:top w:val="none" w:sz="6" w:space="0" w:color="auto"/>
              <w:left w:val="none" w:sz="6" w:space="0" w:color="auto"/>
              <w:bottom w:val="none" w:sz="6" w:space="0" w:color="auto"/>
            </w:tcBorders>
          </w:tcPr>
          <w:p w14:paraId="270C964A" w14:textId="77777777" w:rsidR="007B4CE3" w:rsidRPr="007B4CE3" w:rsidRDefault="007B4CE3" w:rsidP="007B4CE3">
            <w:pPr>
              <w:rPr>
                <w:rFonts w:ascii="Arial" w:hAnsi="Arial" w:cs="Arial"/>
              </w:rPr>
            </w:pPr>
            <w:r w:rsidRPr="007B4CE3">
              <w:rPr>
                <w:rFonts w:ascii="Arial" w:hAnsi="Arial" w:cs="Arial"/>
              </w:rPr>
              <w:t xml:space="preserve">Borrowing approval authorised by the council will be in-line with current restrictions and council financial regulations. Guidance would be sought from NALC &amp; GAPTC </w:t>
            </w:r>
          </w:p>
        </w:tc>
      </w:tr>
      <w:tr w:rsidR="007B4CE3" w:rsidRPr="007B4CE3" w14:paraId="345BB34C" w14:textId="77777777" w:rsidTr="00831F0B">
        <w:tblPrEx>
          <w:tblCellMar>
            <w:top w:w="0" w:type="dxa"/>
            <w:bottom w:w="0" w:type="dxa"/>
          </w:tblCellMar>
        </w:tblPrEx>
        <w:trPr>
          <w:trHeight w:val="539"/>
        </w:trPr>
        <w:tc>
          <w:tcPr>
            <w:tcW w:w="2660" w:type="dxa"/>
            <w:tcBorders>
              <w:top w:val="none" w:sz="6" w:space="0" w:color="auto"/>
              <w:bottom w:val="none" w:sz="6" w:space="0" w:color="auto"/>
              <w:right w:val="none" w:sz="6" w:space="0" w:color="auto"/>
            </w:tcBorders>
          </w:tcPr>
          <w:p w14:paraId="59C7D2AB" w14:textId="77777777" w:rsidR="007B4CE3" w:rsidRPr="007B4CE3" w:rsidRDefault="007B4CE3" w:rsidP="007B4CE3">
            <w:pPr>
              <w:rPr>
                <w:rFonts w:ascii="Arial" w:hAnsi="Arial" w:cs="Arial"/>
              </w:rPr>
            </w:pPr>
            <w:r w:rsidRPr="007B4CE3">
              <w:rPr>
                <w:rFonts w:ascii="Arial" w:hAnsi="Arial" w:cs="Arial"/>
              </w:rPr>
              <w:t xml:space="preserve">Ensuring proper compliance with controlled spending under s137 LGA. </w:t>
            </w:r>
          </w:p>
        </w:tc>
        <w:tc>
          <w:tcPr>
            <w:tcW w:w="850" w:type="dxa"/>
            <w:tcBorders>
              <w:top w:val="none" w:sz="6" w:space="0" w:color="auto"/>
              <w:left w:val="none" w:sz="6" w:space="0" w:color="auto"/>
              <w:bottom w:val="none" w:sz="6" w:space="0" w:color="auto"/>
              <w:right w:val="none" w:sz="6" w:space="0" w:color="auto"/>
            </w:tcBorders>
          </w:tcPr>
          <w:p w14:paraId="61E9D138" w14:textId="77777777" w:rsidR="007B4CE3" w:rsidRPr="007B4CE3" w:rsidRDefault="007B4CE3" w:rsidP="007B4CE3">
            <w:pPr>
              <w:rPr>
                <w:rFonts w:ascii="Arial" w:hAnsi="Arial" w:cs="Arial"/>
              </w:rPr>
            </w:pPr>
            <w:r w:rsidRPr="007B4CE3">
              <w:rPr>
                <w:rFonts w:ascii="Arial" w:hAnsi="Arial" w:cs="Arial"/>
              </w:rPr>
              <w:t xml:space="preserve">L </w:t>
            </w:r>
          </w:p>
        </w:tc>
        <w:tc>
          <w:tcPr>
            <w:tcW w:w="709" w:type="dxa"/>
            <w:tcBorders>
              <w:top w:val="none" w:sz="6" w:space="0" w:color="auto"/>
              <w:left w:val="none" w:sz="6" w:space="0" w:color="auto"/>
              <w:bottom w:val="none" w:sz="6" w:space="0" w:color="auto"/>
              <w:right w:val="none" w:sz="6" w:space="0" w:color="auto"/>
            </w:tcBorders>
          </w:tcPr>
          <w:p w14:paraId="620C4F26" w14:textId="77777777" w:rsidR="007B4CE3" w:rsidRPr="007B4CE3" w:rsidRDefault="007B4CE3" w:rsidP="007B4CE3">
            <w:pPr>
              <w:rPr>
                <w:rFonts w:ascii="Arial" w:hAnsi="Arial" w:cs="Arial"/>
              </w:rPr>
            </w:pPr>
            <w:r w:rsidRPr="007B4CE3">
              <w:rPr>
                <w:rFonts w:ascii="Arial" w:hAnsi="Arial" w:cs="Arial"/>
              </w:rPr>
              <w:t xml:space="preserve">M </w:t>
            </w:r>
          </w:p>
        </w:tc>
        <w:tc>
          <w:tcPr>
            <w:tcW w:w="10961" w:type="dxa"/>
            <w:tcBorders>
              <w:top w:val="none" w:sz="6" w:space="0" w:color="auto"/>
              <w:left w:val="none" w:sz="6" w:space="0" w:color="auto"/>
              <w:bottom w:val="none" w:sz="6" w:space="0" w:color="auto"/>
            </w:tcBorders>
          </w:tcPr>
          <w:p w14:paraId="0D453DAC" w14:textId="77777777" w:rsidR="007B4CE3" w:rsidRPr="007B4CE3" w:rsidRDefault="007B4CE3" w:rsidP="007B4CE3">
            <w:pPr>
              <w:rPr>
                <w:rFonts w:ascii="Arial" w:hAnsi="Arial" w:cs="Arial"/>
              </w:rPr>
            </w:pPr>
            <w:r w:rsidRPr="007B4CE3">
              <w:rPr>
                <w:rFonts w:ascii="Arial" w:hAnsi="Arial" w:cs="Arial"/>
              </w:rPr>
              <w:t xml:space="preserve">Items paid under Section 137 are reported in the minutes and as a separate column in the cash book. S137 LGA 1972 is only to be used as a power of last resort and within the financial limits as determined by the number of electors, and annual elector limit. Annual payment ceiling for s137 is listed in the cashbook heading. </w:t>
            </w:r>
          </w:p>
        </w:tc>
      </w:tr>
      <w:tr w:rsidR="007B4CE3" w:rsidRPr="007B4CE3" w14:paraId="3EA773F1" w14:textId="77777777" w:rsidTr="00831F0B">
        <w:tblPrEx>
          <w:tblCellMar>
            <w:top w:w="0" w:type="dxa"/>
            <w:bottom w:w="0" w:type="dxa"/>
          </w:tblCellMar>
        </w:tblPrEx>
        <w:trPr>
          <w:trHeight w:val="831"/>
        </w:trPr>
        <w:tc>
          <w:tcPr>
            <w:tcW w:w="2660" w:type="dxa"/>
            <w:tcBorders>
              <w:top w:val="none" w:sz="6" w:space="0" w:color="auto"/>
              <w:bottom w:val="none" w:sz="6" w:space="0" w:color="auto"/>
              <w:right w:val="none" w:sz="6" w:space="0" w:color="auto"/>
            </w:tcBorders>
          </w:tcPr>
          <w:p w14:paraId="3CFA2CD9" w14:textId="77777777" w:rsidR="007B4CE3" w:rsidRPr="007B4CE3" w:rsidRDefault="007B4CE3" w:rsidP="007B4CE3">
            <w:pPr>
              <w:rPr>
                <w:rFonts w:ascii="Arial" w:hAnsi="Arial" w:cs="Arial"/>
              </w:rPr>
            </w:pPr>
            <w:r w:rsidRPr="007B4CE3">
              <w:rPr>
                <w:rFonts w:ascii="Arial" w:hAnsi="Arial" w:cs="Arial"/>
              </w:rPr>
              <w:t xml:space="preserve">Meeting timetables as laid down when responding to consultation invitations, including commenting on planning applications </w:t>
            </w:r>
          </w:p>
        </w:tc>
        <w:tc>
          <w:tcPr>
            <w:tcW w:w="850" w:type="dxa"/>
            <w:tcBorders>
              <w:top w:val="none" w:sz="6" w:space="0" w:color="auto"/>
              <w:left w:val="none" w:sz="6" w:space="0" w:color="auto"/>
              <w:bottom w:val="none" w:sz="6" w:space="0" w:color="auto"/>
              <w:right w:val="none" w:sz="6" w:space="0" w:color="auto"/>
            </w:tcBorders>
          </w:tcPr>
          <w:p w14:paraId="64974A2F" w14:textId="77777777" w:rsidR="007B4CE3" w:rsidRPr="007B4CE3" w:rsidRDefault="007B4CE3" w:rsidP="007B4CE3">
            <w:pPr>
              <w:rPr>
                <w:rFonts w:ascii="Arial" w:hAnsi="Arial" w:cs="Arial"/>
              </w:rPr>
            </w:pPr>
            <w:r w:rsidRPr="007B4CE3">
              <w:rPr>
                <w:rFonts w:ascii="Arial" w:hAnsi="Arial" w:cs="Arial"/>
              </w:rPr>
              <w:t xml:space="preserve">L </w:t>
            </w:r>
          </w:p>
        </w:tc>
        <w:tc>
          <w:tcPr>
            <w:tcW w:w="709" w:type="dxa"/>
            <w:tcBorders>
              <w:top w:val="none" w:sz="6" w:space="0" w:color="auto"/>
              <w:left w:val="none" w:sz="6" w:space="0" w:color="auto"/>
              <w:bottom w:val="none" w:sz="6" w:space="0" w:color="auto"/>
              <w:right w:val="none" w:sz="6" w:space="0" w:color="auto"/>
            </w:tcBorders>
          </w:tcPr>
          <w:p w14:paraId="1B05E69C" w14:textId="77777777" w:rsidR="007B4CE3" w:rsidRPr="007B4CE3" w:rsidRDefault="007B4CE3" w:rsidP="007B4CE3">
            <w:pPr>
              <w:rPr>
                <w:rFonts w:ascii="Arial" w:hAnsi="Arial" w:cs="Arial"/>
              </w:rPr>
            </w:pPr>
            <w:r w:rsidRPr="007B4CE3">
              <w:rPr>
                <w:rFonts w:ascii="Arial" w:hAnsi="Arial" w:cs="Arial"/>
              </w:rPr>
              <w:t xml:space="preserve">M </w:t>
            </w:r>
          </w:p>
        </w:tc>
        <w:tc>
          <w:tcPr>
            <w:tcW w:w="10961" w:type="dxa"/>
            <w:tcBorders>
              <w:top w:val="none" w:sz="6" w:space="0" w:color="auto"/>
              <w:left w:val="none" w:sz="6" w:space="0" w:color="auto"/>
              <w:bottom w:val="none" w:sz="6" w:space="0" w:color="auto"/>
            </w:tcBorders>
          </w:tcPr>
          <w:p w14:paraId="4C6CB9F9" w14:textId="77777777" w:rsidR="007B4CE3" w:rsidRPr="007B4CE3" w:rsidRDefault="007B4CE3" w:rsidP="007B4CE3">
            <w:pPr>
              <w:rPr>
                <w:rFonts w:ascii="Arial" w:hAnsi="Arial" w:cs="Arial"/>
              </w:rPr>
            </w:pPr>
            <w:r w:rsidRPr="007B4CE3">
              <w:rPr>
                <w:rFonts w:ascii="Arial" w:hAnsi="Arial" w:cs="Arial"/>
              </w:rPr>
              <w:t xml:space="preserve">Planning applications are circulated to councillors on receipt in the clerk’s email inbox. </w:t>
            </w:r>
          </w:p>
          <w:p w14:paraId="0227745B" w14:textId="77777777" w:rsidR="007B4CE3" w:rsidRPr="007B4CE3" w:rsidRDefault="007B4CE3" w:rsidP="007B4CE3">
            <w:pPr>
              <w:rPr>
                <w:rFonts w:ascii="Arial" w:hAnsi="Arial" w:cs="Arial"/>
              </w:rPr>
            </w:pPr>
            <w:r w:rsidRPr="007B4CE3">
              <w:rPr>
                <w:rFonts w:ascii="Arial" w:hAnsi="Arial" w:cs="Arial"/>
              </w:rPr>
              <w:t xml:space="preserve">If an application is deemed to be contentious or in-depth, Standing Orders allow for an extraordinary meeting to be called within the 21-day statutory consultee period to consider the application. </w:t>
            </w:r>
          </w:p>
        </w:tc>
      </w:tr>
    </w:tbl>
    <w:p w14:paraId="7675FBE0" w14:textId="77777777" w:rsidR="00E26A6E" w:rsidRDefault="00E26A6E" w:rsidP="00E27BAD">
      <w:pPr>
        <w:rPr>
          <w:rFonts w:ascii="MS Reference Sans Serif" w:hAnsi="MS Reference Sans Serif"/>
          <w:sz w:val="24"/>
          <w:szCs w:val="24"/>
        </w:rPr>
      </w:pPr>
    </w:p>
    <w:p w14:paraId="1C1E389C" w14:textId="77777777" w:rsidR="00D716E6" w:rsidRDefault="00D716E6" w:rsidP="000D12FA">
      <w:pPr>
        <w:jc w:val="center"/>
        <w:rPr>
          <w:b/>
          <w:sz w:val="40"/>
          <w:szCs w:val="40"/>
        </w:rPr>
      </w:pPr>
    </w:p>
    <w:p w14:paraId="68654707" w14:textId="2517C646" w:rsidR="000D12FA" w:rsidRDefault="000D12FA" w:rsidP="000D12FA">
      <w:pPr>
        <w:jc w:val="center"/>
        <w:rPr>
          <w:b/>
          <w:sz w:val="40"/>
          <w:szCs w:val="40"/>
        </w:rPr>
      </w:pPr>
      <w:r w:rsidRPr="000F3444">
        <w:rPr>
          <w:b/>
          <w:sz w:val="40"/>
          <w:szCs w:val="40"/>
        </w:rPr>
        <w:t>HORTON PARISH COUNCIL</w:t>
      </w:r>
    </w:p>
    <w:p w14:paraId="7DBBF986" w14:textId="77777777" w:rsidR="00D716E6" w:rsidRPr="00D05228" w:rsidRDefault="00D716E6" w:rsidP="000D12FA">
      <w:pPr>
        <w:jc w:val="center"/>
        <w:rPr>
          <w:rFonts w:ascii="MS Reference Sans Serif" w:hAnsi="MS Reference Sans Serif"/>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992"/>
        <w:gridCol w:w="709"/>
        <w:gridCol w:w="10961"/>
      </w:tblGrid>
      <w:tr w:rsidR="00D716E6" w:rsidRPr="00D716E6" w14:paraId="4F7DE634" w14:textId="77777777" w:rsidTr="00D716E6">
        <w:tblPrEx>
          <w:tblCellMar>
            <w:top w:w="0" w:type="dxa"/>
            <w:bottom w:w="0" w:type="dxa"/>
          </w:tblCellMar>
        </w:tblPrEx>
        <w:trPr>
          <w:trHeight w:val="539"/>
        </w:trPr>
        <w:tc>
          <w:tcPr>
            <w:tcW w:w="2518" w:type="dxa"/>
            <w:tcBorders>
              <w:top w:val="none" w:sz="6" w:space="0" w:color="auto"/>
              <w:bottom w:val="none" w:sz="6" w:space="0" w:color="auto"/>
              <w:right w:val="none" w:sz="6" w:space="0" w:color="auto"/>
            </w:tcBorders>
          </w:tcPr>
          <w:p w14:paraId="1E299339" w14:textId="25DB71BF" w:rsidR="00D716E6" w:rsidRPr="00D716E6" w:rsidRDefault="00D716E6" w:rsidP="00D716E6">
            <w:pPr>
              <w:rPr>
                <w:rFonts w:ascii="Arial" w:hAnsi="Arial" w:cs="Arial"/>
                <w:sz w:val="24"/>
                <w:szCs w:val="24"/>
              </w:rPr>
            </w:pPr>
            <w:r w:rsidRPr="00D716E6">
              <w:rPr>
                <w:rFonts w:ascii="Arial" w:hAnsi="Arial" w:cs="Arial"/>
                <w:sz w:val="24"/>
                <w:szCs w:val="24"/>
              </w:rPr>
              <w:t>Proper, timely and</w:t>
            </w:r>
            <w:r w:rsidRPr="000D5FD4">
              <w:rPr>
                <w:rFonts w:ascii="Arial" w:hAnsi="Arial" w:cs="Arial"/>
                <w:sz w:val="24"/>
                <w:szCs w:val="24"/>
              </w:rPr>
              <w:t xml:space="preserve"> </w:t>
            </w:r>
            <w:r w:rsidRPr="00D716E6">
              <w:rPr>
                <w:rFonts w:ascii="Arial" w:hAnsi="Arial" w:cs="Arial"/>
                <w:sz w:val="24"/>
                <w:szCs w:val="24"/>
              </w:rPr>
              <w:t>accurate reporting</w:t>
            </w:r>
            <w:r w:rsidRPr="000D5FD4">
              <w:rPr>
                <w:rFonts w:ascii="Arial" w:hAnsi="Arial" w:cs="Arial"/>
                <w:sz w:val="24"/>
                <w:szCs w:val="24"/>
              </w:rPr>
              <w:t xml:space="preserve"> </w:t>
            </w:r>
            <w:r w:rsidRPr="00D716E6">
              <w:rPr>
                <w:rFonts w:ascii="Arial" w:hAnsi="Arial" w:cs="Arial"/>
                <w:sz w:val="24"/>
                <w:szCs w:val="24"/>
              </w:rPr>
              <w:t xml:space="preserve">of Council business in minutes </w:t>
            </w:r>
          </w:p>
        </w:tc>
        <w:tc>
          <w:tcPr>
            <w:tcW w:w="992" w:type="dxa"/>
            <w:tcBorders>
              <w:top w:val="none" w:sz="6" w:space="0" w:color="auto"/>
              <w:left w:val="none" w:sz="6" w:space="0" w:color="auto"/>
              <w:bottom w:val="none" w:sz="6" w:space="0" w:color="auto"/>
              <w:right w:val="none" w:sz="6" w:space="0" w:color="auto"/>
            </w:tcBorders>
          </w:tcPr>
          <w:p w14:paraId="3C01A1F6" w14:textId="77777777" w:rsidR="00D716E6" w:rsidRPr="00D716E6" w:rsidRDefault="00D716E6" w:rsidP="00D716E6">
            <w:pPr>
              <w:rPr>
                <w:rFonts w:ascii="Arial" w:hAnsi="Arial" w:cs="Arial"/>
                <w:sz w:val="24"/>
                <w:szCs w:val="24"/>
              </w:rPr>
            </w:pPr>
            <w:r w:rsidRPr="00D716E6">
              <w:rPr>
                <w:rFonts w:ascii="Arial" w:hAnsi="Arial" w:cs="Arial"/>
                <w:sz w:val="24"/>
                <w:szCs w:val="24"/>
              </w:rPr>
              <w:t xml:space="preserve">L </w:t>
            </w:r>
          </w:p>
        </w:tc>
        <w:tc>
          <w:tcPr>
            <w:tcW w:w="709" w:type="dxa"/>
            <w:tcBorders>
              <w:top w:val="none" w:sz="6" w:space="0" w:color="auto"/>
              <w:left w:val="none" w:sz="6" w:space="0" w:color="auto"/>
              <w:bottom w:val="none" w:sz="6" w:space="0" w:color="auto"/>
              <w:right w:val="none" w:sz="6" w:space="0" w:color="auto"/>
            </w:tcBorders>
          </w:tcPr>
          <w:p w14:paraId="25AF334F" w14:textId="77777777" w:rsidR="00D716E6" w:rsidRPr="00D716E6" w:rsidRDefault="00D716E6" w:rsidP="00D716E6">
            <w:pPr>
              <w:rPr>
                <w:rFonts w:ascii="Arial" w:hAnsi="Arial" w:cs="Arial"/>
                <w:sz w:val="24"/>
                <w:szCs w:val="24"/>
              </w:rPr>
            </w:pPr>
            <w:r w:rsidRPr="00D716E6">
              <w:rPr>
                <w:rFonts w:ascii="Arial" w:hAnsi="Arial" w:cs="Arial"/>
                <w:sz w:val="24"/>
                <w:szCs w:val="24"/>
              </w:rPr>
              <w:t xml:space="preserve">M </w:t>
            </w:r>
          </w:p>
        </w:tc>
        <w:tc>
          <w:tcPr>
            <w:tcW w:w="10961" w:type="dxa"/>
            <w:tcBorders>
              <w:top w:val="none" w:sz="6" w:space="0" w:color="auto"/>
              <w:left w:val="none" w:sz="6" w:space="0" w:color="auto"/>
              <w:bottom w:val="none" w:sz="6" w:space="0" w:color="auto"/>
            </w:tcBorders>
          </w:tcPr>
          <w:p w14:paraId="4D50287A" w14:textId="77777777" w:rsidR="00D716E6" w:rsidRPr="00D716E6" w:rsidRDefault="00D716E6" w:rsidP="00D716E6">
            <w:pPr>
              <w:rPr>
                <w:rFonts w:ascii="Arial" w:hAnsi="Arial" w:cs="Arial"/>
                <w:sz w:val="24"/>
                <w:szCs w:val="24"/>
              </w:rPr>
            </w:pPr>
            <w:r w:rsidRPr="00D716E6">
              <w:rPr>
                <w:rFonts w:ascii="Arial" w:hAnsi="Arial" w:cs="Arial"/>
                <w:sz w:val="24"/>
                <w:szCs w:val="24"/>
              </w:rPr>
              <w:t xml:space="preserve">Minutes properly numbered for ease of reference. </w:t>
            </w:r>
          </w:p>
          <w:p w14:paraId="172DB4CD" w14:textId="77777777" w:rsidR="00D716E6" w:rsidRPr="00D716E6" w:rsidRDefault="00D716E6" w:rsidP="00D716E6">
            <w:pPr>
              <w:rPr>
                <w:rFonts w:ascii="Arial" w:hAnsi="Arial" w:cs="Arial"/>
                <w:sz w:val="24"/>
                <w:szCs w:val="24"/>
              </w:rPr>
            </w:pPr>
            <w:r w:rsidRPr="00D716E6">
              <w:rPr>
                <w:rFonts w:ascii="Arial" w:hAnsi="Arial" w:cs="Arial"/>
                <w:sz w:val="24"/>
                <w:szCs w:val="24"/>
              </w:rPr>
              <w:t xml:space="preserve">Draft minutes published on website within one month. Approved minutes circulated and published on website. </w:t>
            </w:r>
          </w:p>
        </w:tc>
      </w:tr>
      <w:tr w:rsidR="00D716E6" w:rsidRPr="00D716E6" w14:paraId="625C6C0D" w14:textId="77777777" w:rsidTr="00D716E6">
        <w:tblPrEx>
          <w:tblCellMar>
            <w:top w:w="0" w:type="dxa"/>
            <w:bottom w:w="0" w:type="dxa"/>
          </w:tblCellMar>
        </w:tblPrEx>
        <w:trPr>
          <w:trHeight w:val="539"/>
        </w:trPr>
        <w:tc>
          <w:tcPr>
            <w:tcW w:w="2518" w:type="dxa"/>
            <w:tcBorders>
              <w:top w:val="none" w:sz="6" w:space="0" w:color="auto"/>
              <w:bottom w:val="none" w:sz="6" w:space="0" w:color="auto"/>
              <w:right w:val="none" w:sz="6" w:space="0" w:color="auto"/>
            </w:tcBorders>
          </w:tcPr>
          <w:p w14:paraId="2BF5288A" w14:textId="77777777" w:rsidR="00D716E6" w:rsidRPr="00D716E6" w:rsidRDefault="00D716E6" w:rsidP="00D716E6">
            <w:pPr>
              <w:rPr>
                <w:rFonts w:ascii="Arial" w:hAnsi="Arial" w:cs="Arial"/>
                <w:sz w:val="24"/>
                <w:szCs w:val="24"/>
              </w:rPr>
            </w:pPr>
            <w:r w:rsidRPr="00D716E6">
              <w:rPr>
                <w:rFonts w:ascii="Arial" w:hAnsi="Arial" w:cs="Arial"/>
                <w:sz w:val="24"/>
                <w:szCs w:val="24"/>
              </w:rPr>
              <w:t xml:space="preserve">Failure to respond to electors wishing to exercise their rights of inspection </w:t>
            </w:r>
          </w:p>
        </w:tc>
        <w:tc>
          <w:tcPr>
            <w:tcW w:w="992" w:type="dxa"/>
            <w:tcBorders>
              <w:top w:val="none" w:sz="6" w:space="0" w:color="auto"/>
              <w:left w:val="none" w:sz="6" w:space="0" w:color="auto"/>
              <w:bottom w:val="none" w:sz="6" w:space="0" w:color="auto"/>
              <w:right w:val="none" w:sz="6" w:space="0" w:color="auto"/>
            </w:tcBorders>
          </w:tcPr>
          <w:p w14:paraId="77211331" w14:textId="77777777" w:rsidR="00D716E6" w:rsidRPr="00D716E6" w:rsidRDefault="00D716E6" w:rsidP="00D716E6">
            <w:pPr>
              <w:rPr>
                <w:rFonts w:ascii="Arial" w:hAnsi="Arial" w:cs="Arial"/>
                <w:sz w:val="24"/>
                <w:szCs w:val="24"/>
              </w:rPr>
            </w:pPr>
            <w:r w:rsidRPr="00D716E6">
              <w:rPr>
                <w:rFonts w:ascii="Arial" w:hAnsi="Arial" w:cs="Arial"/>
                <w:sz w:val="24"/>
                <w:szCs w:val="24"/>
              </w:rPr>
              <w:t xml:space="preserve">L </w:t>
            </w:r>
          </w:p>
        </w:tc>
        <w:tc>
          <w:tcPr>
            <w:tcW w:w="709" w:type="dxa"/>
            <w:tcBorders>
              <w:top w:val="none" w:sz="6" w:space="0" w:color="auto"/>
              <w:left w:val="none" w:sz="6" w:space="0" w:color="auto"/>
              <w:bottom w:val="none" w:sz="6" w:space="0" w:color="auto"/>
              <w:right w:val="none" w:sz="6" w:space="0" w:color="auto"/>
            </w:tcBorders>
          </w:tcPr>
          <w:p w14:paraId="4AEA2F91" w14:textId="77777777" w:rsidR="00D716E6" w:rsidRPr="00D716E6" w:rsidRDefault="00D716E6" w:rsidP="00D716E6">
            <w:pPr>
              <w:rPr>
                <w:rFonts w:ascii="Arial" w:hAnsi="Arial" w:cs="Arial"/>
                <w:sz w:val="24"/>
                <w:szCs w:val="24"/>
              </w:rPr>
            </w:pPr>
            <w:r w:rsidRPr="00D716E6">
              <w:rPr>
                <w:rFonts w:ascii="Arial" w:hAnsi="Arial" w:cs="Arial"/>
                <w:sz w:val="24"/>
                <w:szCs w:val="24"/>
              </w:rPr>
              <w:t xml:space="preserve">M </w:t>
            </w:r>
          </w:p>
        </w:tc>
        <w:tc>
          <w:tcPr>
            <w:tcW w:w="10961" w:type="dxa"/>
            <w:tcBorders>
              <w:top w:val="none" w:sz="6" w:space="0" w:color="auto"/>
              <w:left w:val="none" w:sz="6" w:space="0" w:color="auto"/>
              <w:bottom w:val="none" w:sz="6" w:space="0" w:color="auto"/>
            </w:tcBorders>
          </w:tcPr>
          <w:p w14:paraId="152FB5C1" w14:textId="77777777" w:rsidR="00D716E6" w:rsidRPr="00D716E6" w:rsidRDefault="00D716E6" w:rsidP="00D716E6">
            <w:pPr>
              <w:rPr>
                <w:rFonts w:ascii="Arial" w:hAnsi="Arial" w:cs="Arial"/>
                <w:sz w:val="24"/>
                <w:szCs w:val="24"/>
              </w:rPr>
            </w:pPr>
            <w:r w:rsidRPr="00D716E6">
              <w:rPr>
                <w:rFonts w:ascii="Arial" w:hAnsi="Arial" w:cs="Arial"/>
                <w:sz w:val="24"/>
                <w:szCs w:val="24"/>
              </w:rPr>
              <w:t xml:space="preserve">Advertising end of year accounts and made available for inspection to the public as required under the Accounts and Audit Regulations. Notice of Rights publication details and copy signed and sent to the external auditor. Electors’ rights are published on the noticeboards and website in accordance with required timescales </w:t>
            </w:r>
          </w:p>
        </w:tc>
      </w:tr>
      <w:tr w:rsidR="00D716E6" w:rsidRPr="00D716E6" w14:paraId="0690417D" w14:textId="77777777" w:rsidTr="00D716E6">
        <w:tblPrEx>
          <w:tblCellMar>
            <w:top w:w="0" w:type="dxa"/>
            <w:bottom w:w="0" w:type="dxa"/>
          </w:tblCellMar>
        </w:tblPrEx>
        <w:trPr>
          <w:trHeight w:val="540"/>
        </w:trPr>
        <w:tc>
          <w:tcPr>
            <w:tcW w:w="2518" w:type="dxa"/>
            <w:tcBorders>
              <w:top w:val="none" w:sz="6" w:space="0" w:color="auto"/>
              <w:bottom w:val="none" w:sz="6" w:space="0" w:color="auto"/>
              <w:right w:val="none" w:sz="6" w:space="0" w:color="auto"/>
            </w:tcBorders>
          </w:tcPr>
          <w:p w14:paraId="0EAA1EBE" w14:textId="77777777" w:rsidR="00D716E6" w:rsidRPr="00D716E6" w:rsidRDefault="00D716E6" w:rsidP="00D716E6">
            <w:pPr>
              <w:rPr>
                <w:rFonts w:ascii="Arial" w:hAnsi="Arial" w:cs="Arial"/>
                <w:sz w:val="24"/>
                <w:szCs w:val="24"/>
              </w:rPr>
            </w:pPr>
            <w:r w:rsidRPr="00D716E6">
              <w:rPr>
                <w:rFonts w:ascii="Arial" w:hAnsi="Arial" w:cs="Arial"/>
                <w:sz w:val="24"/>
                <w:szCs w:val="24"/>
              </w:rPr>
              <w:t xml:space="preserve">Document control – correspondence, postage, storage and filing, etc </w:t>
            </w:r>
          </w:p>
        </w:tc>
        <w:tc>
          <w:tcPr>
            <w:tcW w:w="992" w:type="dxa"/>
            <w:tcBorders>
              <w:top w:val="none" w:sz="6" w:space="0" w:color="auto"/>
              <w:left w:val="none" w:sz="6" w:space="0" w:color="auto"/>
              <w:bottom w:val="none" w:sz="6" w:space="0" w:color="auto"/>
              <w:right w:val="none" w:sz="6" w:space="0" w:color="auto"/>
            </w:tcBorders>
          </w:tcPr>
          <w:p w14:paraId="2F6A27B5" w14:textId="77777777" w:rsidR="00D716E6" w:rsidRPr="00D716E6" w:rsidRDefault="00D716E6" w:rsidP="00D716E6">
            <w:pPr>
              <w:rPr>
                <w:rFonts w:ascii="Arial" w:hAnsi="Arial" w:cs="Arial"/>
                <w:sz w:val="24"/>
                <w:szCs w:val="24"/>
              </w:rPr>
            </w:pPr>
            <w:r w:rsidRPr="00D716E6">
              <w:rPr>
                <w:rFonts w:ascii="Arial" w:hAnsi="Arial" w:cs="Arial"/>
                <w:sz w:val="24"/>
                <w:szCs w:val="24"/>
              </w:rPr>
              <w:t xml:space="preserve">L </w:t>
            </w:r>
          </w:p>
        </w:tc>
        <w:tc>
          <w:tcPr>
            <w:tcW w:w="709" w:type="dxa"/>
            <w:tcBorders>
              <w:top w:val="none" w:sz="6" w:space="0" w:color="auto"/>
              <w:left w:val="none" w:sz="6" w:space="0" w:color="auto"/>
              <w:bottom w:val="none" w:sz="6" w:space="0" w:color="auto"/>
              <w:right w:val="none" w:sz="6" w:space="0" w:color="auto"/>
            </w:tcBorders>
          </w:tcPr>
          <w:p w14:paraId="16820593" w14:textId="77777777" w:rsidR="00D716E6" w:rsidRPr="00D716E6" w:rsidRDefault="00D716E6" w:rsidP="00D716E6">
            <w:pPr>
              <w:rPr>
                <w:rFonts w:ascii="Arial" w:hAnsi="Arial" w:cs="Arial"/>
                <w:sz w:val="24"/>
                <w:szCs w:val="24"/>
              </w:rPr>
            </w:pPr>
            <w:r w:rsidRPr="00D716E6">
              <w:rPr>
                <w:rFonts w:ascii="Arial" w:hAnsi="Arial" w:cs="Arial"/>
                <w:sz w:val="24"/>
                <w:szCs w:val="24"/>
              </w:rPr>
              <w:t xml:space="preserve">M </w:t>
            </w:r>
          </w:p>
        </w:tc>
        <w:tc>
          <w:tcPr>
            <w:tcW w:w="10961" w:type="dxa"/>
            <w:tcBorders>
              <w:top w:val="none" w:sz="6" w:space="0" w:color="auto"/>
              <w:left w:val="none" w:sz="6" w:space="0" w:color="auto"/>
              <w:bottom w:val="none" w:sz="6" w:space="0" w:color="auto"/>
            </w:tcBorders>
          </w:tcPr>
          <w:p w14:paraId="151CA26F" w14:textId="77777777" w:rsidR="00D716E6" w:rsidRPr="00D716E6" w:rsidRDefault="00D716E6" w:rsidP="00D716E6">
            <w:pPr>
              <w:rPr>
                <w:rFonts w:ascii="Arial" w:hAnsi="Arial" w:cs="Arial"/>
                <w:sz w:val="24"/>
                <w:szCs w:val="24"/>
              </w:rPr>
            </w:pPr>
            <w:r w:rsidRPr="00D716E6">
              <w:rPr>
                <w:rFonts w:ascii="Arial" w:hAnsi="Arial" w:cs="Arial"/>
                <w:sz w:val="24"/>
                <w:szCs w:val="24"/>
              </w:rPr>
              <w:t xml:space="preserve">Documentation is stored in accordance with the documentation policy. Documents are backed up onto an encrypted USB drive and stored in a separate location. The production and storage of physical documents is restricted as far as possible with the preference being digitally stored documentation. </w:t>
            </w:r>
          </w:p>
        </w:tc>
      </w:tr>
    </w:tbl>
    <w:p w14:paraId="42FB482D" w14:textId="77777777" w:rsidR="00E26A6E" w:rsidRDefault="00E26A6E" w:rsidP="000D12FA">
      <w:pPr>
        <w:jc w:val="center"/>
        <w:rPr>
          <w:rFonts w:ascii="MS Reference Sans Serif" w:hAnsi="MS Reference Sans Serif"/>
          <w:sz w:val="24"/>
          <w:szCs w:val="24"/>
        </w:rPr>
      </w:pPr>
    </w:p>
    <w:p w14:paraId="2C35EE9F" w14:textId="77777777" w:rsidR="00E26A6E" w:rsidRDefault="00E26A6E" w:rsidP="00E27BAD">
      <w:pPr>
        <w:rPr>
          <w:rFonts w:ascii="MS Reference Sans Serif" w:hAnsi="MS Reference Sans Serif"/>
          <w:sz w:val="24"/>
          <w:szCs w:val="24"/>
        </w:rPr>
      </w:pPr>
    </w:p>
    <w:p w14:paraId="7F9A9A7D" w14:textId="77777777" w:rsidR="00E26A6E" w:rsidRPr="00E27BAD" w:rsidRDefault="00E26A6E" w:rsidP="00E27BAD">
      <w:pPr>
        <w:rPr>
          <w:rFonts w:ascii="MS Reference Sans Serif" w:hAnsi="MS Reference Sans Serif"/>
          <w:sz w:val="24"/>
          <w:szCs w:val="24"/>
        </w:rPr>
      </w:pPr>
    </w:p>
    <w:sectPr w:rsidR="00E26A6E" w:rsidRPr="00E27BAD" w:rsidSect="007B4CE3">
      <w:pgSz w:w="16838" w:h="11906" w:orient="landscape"/>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60ED" w14:textId="77777777" w:rsidR="00377DAD" w:rsidRDefault="00377DAD" w:rsidP="00D05228">
      <w:pPr>
        <w:spacing w:after="0" w:line="240" w:lineRule="auto"/>
      </w:pPr>
      <w:r>
        <w:separator/>
      </w:r>
    </w:p>
  </w:endnote>
  <w:endnote w:type="continuationSeparator" w:id="0">
    <w:p w14:paraId="382DC737" w14:textId="77777777" w:rsidR="00377DAD" w:rsidRDefault="00377DAD" w:rsidP="00D05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4347" w14:textId="77777777" w:rsidR="00377DAD" w:rsidRDefault="00377DAD" w:rsidP="00D05228">
      <w:pPr>
        <w:spacing w:after="0" w:line="240" w:lineRule="auto"/>
      </w:pPr>
      <w:r>
        <w:separator/>
      </w:r>
    </w:p>
  </w:footnote>
  <w:footnote w:type="continuationSeparator" w:id="0">
    <w:p w14:paraId="210E27E8" w14:textId="77777777" w:rsidR="00377DAD" w:rsidRDefault="00377DAD" w:rsidP="00D052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59"/>
    <w:rsid w:val="000839E6"/>
    <w:rsid w:val="000C03F1"/>
    <w:rsid w:val="000D12FA"/>
    <w:rsid w:val="000D5FD4"/>
    <w:rsid w:val="00143146"/>
    <w:rsid w:val="00377DAD"/>
    <w:rsid w:val="00390981"/>
    <w:rsid w:val="003F0B82"/>
    <w:rsid w:val="00602EE6"/>
    <w:rsid w:val="006E23F0"/>
    <w:rsid w:val="007B4CE3"/>
    <w:rsid w:val="00831F0B"/>
    <w:rsid w:val="0083441B"/>
    <w:rsid w:val="00984B7A"/>
    <w:rsid w:val="009B02BA"/>
    <w:rsid w:val="00A11A23"/>
    <w:rsid w:val="00AD6E6E"/>
    <w:rsid w:val="00C757DC"/>
    <w:rsid w:val="00D05228"/>
    <w:rsid w:val="00D716E6"/>
    <w:rsid w:val="00E02659"/>
    <w:rsid w:val="00E26A6E"/>
    <w:rsid w:val="00E27BAD"/>
    <w:rsid w:val="00E6373B"/>
    <w:rsid w:val="00F01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EAB1A"/>
  <w15:chartTrackingRefBased/>
  <w15:docId w15:val="{EFE22A5E-64D9-4D11-952B-84C0E297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2FA"/>
    <w:rPr>
      <w:rFonts w:eastAsiaTheme="minorEastAsia" w:cs="Times New Roman"/>
      <w:kern w:val="0"/>
      <w:lang w:eastAsia="en-GB"/>
      <w14:ligatures w14:val="none"/>
    </w:rPr>
  </w:style>
  <w:style w:type="paragraph" w:styleId="Heading1">
    <w:name w:val="heading 1"/>
    <w:basedOn w:val="Normal"/>
    <w:next w:val="Normal"/>
    <w:link w:val="Heading1Char"/>
    <w:uiPriority w:val="9"/>
    <w:qFormat/>
    <w:rsid w:val="00E02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659"/>
    <w:rPr>
      <w:rFonts w:eastAsiaTheme="majorEastAsia" w:cstheme="majorBidi"/>
      <w:color w:val="272727" w:themeColor="text1" w:themeTint="D8"/>
    </w:rPr>
  </w:style>
  <w:style w:type="paragraph" w:styleId="Title">
    <w:name w:val="Title"/>
    <w:basedOn w:val="Normal"/>
    <w:next w:val="Normal"/>
    <w:link w:val="TitleChar"/>
    <w:uiPriority w:val="10"/>
    <w:qFormat/>
    <w:rsid w:val="00E02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659"/>
    <w:pPr>
      <w:spacing w:before="160"/>
      <w:jc w:val="center"/>
    </w:pPr>
    <w:rPr>
      <w:i/>
      <w:iCs/>
      <w:color w:val="404040" w:themeColor="text1" w:themeTint="BF"/>
    </w:rPr>
  </w:style>
  <w:style w:type="character" w:customStyle="1" w:styleId="QuoteChar">
    <w:name w:val="Quote Char"/>
    <w:basedOn w:val="DefaultParagraphFont"/>
    <w:link w:val="Quote"/>
    <w:uiPriority w:val="29"/>
    <w:rsid w:val="00E02659"/>
    <w:rPr>
      <w:i/>
      <w:iCs/>
      <w:color w:val="404040" w:themeColor="text1" w:themeTint="BF"/>
    </w:rPr>
  </w:style>
  <w:style w:type="paragraph" w:styleId="ListParagraph">
    <w:name w:val="List Paragraph"/>
    <w:basedOn w:val="Normal"/>
    <w:uiPriority w:val="34"/>
    <w:qFormat/>
    <w:rsid w:val="00E02659"/>
    <w:pPr>
      <w:ind w:left="720"/>
      <w:contextualSpacing/>
    </w:pPr>
  </w:style>
  <w:style w:type="character" w:styleId="IntenseEmphasis">
    <w:name w:val="Intense Emphasis"/>
    <w:basedOn w:val="DefaultParagraphFont"/>
    <w:uiPriority w:val="21"/>
    <w:qFormat/>
    <w:rsid w:val="00E02659"/>
    <w:rPr>
      <w:i/>
      <w:iCs/>
      <w:color w:val="0F4761" w:themeColor="accent1" w:themeShade="BF"/>
    </w:rPr>
  </w:style>
  <w:style w:type="paragraph" w:styleId="IntenseQuote">
    <w:name w:val="Intense Quote"/>
    <w:basedOn w:val="Normal"/>
    <w:next w:val="Normal"/>
    <w:link w:val="IntenseQuoteChar"/>
    <w:uiPriority w:val="30"/>
    <w:qFormat/>
    <w:rsid w:val="00E02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659"/>
    <w:rPr>
      <w:i/>
      <w:iCs/>
      <w:color w:val="0F4761" w:themeColor="accent1" w:themeShade="BF"/>
    </w:rPr>
  </w:style>
  <w:style w:type="character" w:styleId="IntenseReference">
    <w:name w:val="Intense Reference"/>
    <w:basedOn w:val="DefaultParagraphFont"/>
    <w:uiPriority w:val="32"/>
    <w:qFormat/>
    <w:rsid w:val="00E02659"/>
    <w:rPr>
      <w:b/>
      <w:bCs/>
      <w:smallCaps/>
      <w:color w:val="0F4761" w:themeColor="accent1" w:themeShade="BF"/>
      <w:spacing w:val="5"/>
    </w:rPr>
  </w:style>
  <w:style w:type="table" w:styleId="TableGrid">
    <w:name w:val="Table Grid"/>
    <w:basedOn w:val="TableNormal"/>
    <w:uiPriority w:val="39"/>
    <w:rsid w:val="00143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3146"/>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D05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228"/>
    <w:rPr>
      <w:rFonts w:eastAsiaTheme="minorEastAsia" w:cs="Times New Roman"/>
      <w:kern w:val="0"/>
      <w:lang w:eastAsia="en-GB"/>
      <w14:ligatures w14:val="none"/>
    </w:rPr>
  </w:style>
  <w:style w:type="paragraph" w:styleId="Footer">
    <w:name w:val="footer"/>
    <w:basedOn w:val="Normal"/>
    <w:link w:val="FooterChar"/>
    <w:uiPriority w:val="99"/>
    <w:unhideWhenUsed/>
    <w:rsid w:val="00D05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228"/>
    <w:rPr>
      <w:rFonts w:eastAsiaTheme="minorEastAsia"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21</cp:revision>
  <dcterms:created xsi:type="dcterms:W3CDTF">2025-11-07T11:38:00Z</dcterms:created>
  <dcterms:modified xsi:type="dcterms:W3CDTF">2025-11-07T12:37:00Z</dcterms:modified>
</cp:coreProperties>
</file>